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EF0ED" w14:textId="77777777" w:rsidR="00953B96" w:rsidRPr="00C51D69" w:rsidRDefault="00953B96" w:rsidP="00C51D69">
      <w:pPr>
        <w:widowControl/>
        <w:tabs>
          <w:tab w:val="left" w:pos="4475"/>
        </w:tabs>
        <w:autoSpaceDE/>
        <w:autoSpaceDN/>
        <w:adjustRightInd/>
        <w:ind w:left="-34" w:firstLine="178"/>
        <w:rPr>
          <w:rFonts w:ascii="Arial" w:hAnsi="Arial"/>
          <w:b/>
          <w:color w:val="FFFFFF" w:themeColor="background1"/>
          <w:sz w:val="18"/>
          <w:szCs w:val="18"/>
          <w:lang w:val="en-GB" w:eastAsia="en-GB"/>
        </w:rPr>
      </w:pPr>
    </w:p>
    <w:p w14:paraId="417C7723" w14:textId="37AF297A" w:rsidR="00953B96" w:rsidRPr="00865633" w:rsidRDefault="00647FB9" w:rsidP="00B47CDA">
      <w:pPr>
        <w:pStyle w:val="Header"/>
        <w:spacing w:after="200"/>
        <w:rPr>
          <w:rFonts w:ascii="Arial" w:hAnsi="Arial" w:cs="Arial"/>
          <w:bCs/>
          <w:sz w:val="36"/>
          <w:szCs w:val="36"/>
        </w:rPr>
      </w:pPr>
      <w:r w:rsidRPr="00865633">
        <w:rPr>
          <w:rFonts w:ascii="Arial" w:hAnsi="Arial" w:cs="Arial"/>
          <w:bCs/>
          <w:sz w:val="36"/>
          <w:szCs w:val="36"/>
        </w:rPr>
        <w:t xml:space="preserve">Tips </w:t>
      </w:r>
      <w:r w:rsidR="009C7D27">
        <w:rPr>
          <w:rFonts w:ascii="Arial" w:hAnsi="Arial" w:cs="Arial"/>
          <w:bCs/>
          <w:sz w:val="36"/>
          <w:szCs w:val="36"/>
        </w:rPr>
        <w:t>and</w:t>
      </w:r>
      <w:r w:rsidR="008E6BB8">
        <w:rPr>
          <w:rFonts w:ascii="Arial" w:hAnsi="Arial" w:cs="Arial"/>
          <w:bCs/>
          <w:sz w:val="36"/>
          <w:szCs w:val="36"/>
        </w:rPr>
        <w:t xml:space="preserve"> Resources to Alleviate</w:t>
      </w:r>
      <w:r w:rsidRPr="00865633">
        <w:rPr>
          <w:rFonts w:ascii="Arial" w:hAnsi="Arial" w:cs="Arial"/>
          <w:bCs/>
          <w:sz w:val="36"/>
          <w:szCs w:val="36"/>
        </w:rPr>
        <w:t xml:space="preserve"> Prior Authorization </w:t>
      </w:r>
      <w:r w:rsidR="008E6BB8">
        <w:rPr>
          <w:rFonts w:ascii="Arial" w:hAnsi="Arial" w:cs="Arial"/>
          <w:bCs/>
          <w:sz w:val="36"/>
          <w:szCs w:val="36"/>
        </w:rPr>
        <w:t>Burdens</w:t>
      </w:r>
    </w:p>
    <w:p w14:paraId="59E1256D" w14:textId="76DB3A75" w:rsidR="00953B96" w:rsidRDefault="00647FB9" w:rsidP="00953B96">
      <w:pPr>
        <w:rPr>
          <w:rFonts w:ascii="Arial" w:hAnsi="Arial" w:cs="Arial"/>
          <w:i/>
          <w:iCs/>
        </w:rPr>
      </w:pPr>
      <w:r w:rsidRPr="00647FB9">
        <w:rPr>
          <w:rFonts w:ascii="Arial" w:hAnsi="Arial" w:cs="Arial"/>
          <w:i/>
          <w:iCs/>
        </w:rPr>
        <w:t>Many health care professional and patient organizations are advocating for insurers to reduce the overall volume of drugs that require prior authorization (PA). In the meantime, practices will continue to face challenges managing the administrative burdens associated with medication PAs. The following tips can help minimize the impact of PA on your practice and ensure your patients receive their medications without PA-related delays.</w:t>
      </w:r>
    </w:p>
    <w:p w14:paraId="535E8427" w14:textId="6C00AA80" w:rsidR="00865633" w:rsidRDefault="00865633" w:rsidP="00953B96">
      <w:pPr>
        <w:rPr>
          <w:rFonts w:ascii="Arial" w:hAnsi="Arial" w:cs="Arial"/>
          <w:i/>
          <w:iCs/>
        </w:rPr>
      </w:pPr>
    </w:p>
    <w:p w14:paraId="3F7E6C49" w14:textId="118340D6" w:rsidR="00865633" w:rsidRPr="00DE49F0" w:rsidRDefault="00865633" w:rsidP="00865633">
      <w:pPr>
        <w:spacing w:after="200"/>
        <w:rPr>
          <w:rFonts w:ascii="Arial" w:hAnsi="Arial" w:cs="Arial"/>
          <w:b/>
          <w:color w:val="00B0F0"/>
          <w:sz w:val="26"/>
          <w:szCs w:val="26"/>
        </w:rPr>
      </w:pPr>
      <w:r w:rsidRPr="00DE49F0">
        <w:rPr>
          <w:rFonts w:ascii="Arial" w:hAnsi="Arial" w:cs="Arial"/>
          <w:b/>
          <w:color w:val="00B0F0"/>
          <w:sz w:val="26"/>
          <w:szCs w:val="26"/>
        </w:rPr>
        <w:t>Tip #1</w:t>
      </w:r>
      <w:r w:rsidR="008E6BB8" w:rsidRPr="00DE49F0">
        <w:rPr>
          <w:rFonts w:ascii="Arial" w:hAnsi="Arial" w:cs="Arial"/>
          <w:b/>
          <w:color w:val="00B0F0"/>
          <w:sz w:val="26"/>
          <w:szCs w:val="26"/>
        </w:rPr>
        <w:t>:</w:t>
      </w:r>
      <w:r w:rsidRPr="00DE49F0">
        <w:rPr>
          <w:rFonts w:ascii="Arial" w:hAnsi="Arial" w:cs="Arial"/>
          <w:b/>
          <w:color w:val="00B0F0"/>
          <w:sz w:val="26"/>
          <w:szCs w:val="26"/>
        </w:rPr>
        <w:t xml:space="preserve"> Check PA requirements before sending prescriptions to the pharmacy to avoid rework</w:t>
      </w:r>
      <w:r w:rsidR="00A4095A" w:rsidRPr="00DE49F0">
        <w:rPr>
          <w:rFonts w:ascii="Arial" w:hAnsi="Arial" w:cs="Arial"/>
          <w:b/>
          <w:color w:val="00B0F0"/>
          <w:sz w:val="26"/>
          <w:szCs w:val="26"/>
        </w:rPr>
        <w:t xml:space="preserve">, </w:t>
      </w:r>
      <w:r w:rsidRPr="00DE49F0">
        <w:rPr>
          <w:rFonts w:ascii="Arial" w:hAnsi="Arial" w:cs="Arial"/>
          <w:b/>
          <w:color w:val="00B0F0"/>
          <w:sz w:val="26"/>
          <w:szCs w:val="26"/>
        </w:rPr>
        <w:t>reduce medication nonadherence</w:t>
      </w:r>
      <w:r w:rsidR="008E57E1" w:rsidRPr="00DE49F0">
        <w:rPr>
          <w:rFonts w:ascii="Arial" w:hAnsi="Arial" w:cs="Arial"/>
          <w:b/>
          <w:color w:val="00B0F0"/>
          <w:sz w:val="26"/>
          <w:szCs w:val="26"/>
        </w:rPr>
        <w:t>, and consider possible alternative medications</w:t>
      </w:r>
    </w:p>
    <w:p w14:paraId="25C29AA9" w14:textId="076F6106" w:rsidR="00865633" w:rsidRPr="00865633" w:rsidRDefault="00865633" w:rsidP="008E6BB8">
      <w:pPr>
        <w:ind w:left="720"/>
        <w:rPr>
          <w:rFonts w:ascii="Arial" w:hAnsi="Arial" w:cs="Arial"/>
          <w:bCs/>
        </w:rPr>
      </w:pPr>
      <w:r w:rsidRPr="00865633">
        <w:rPr>
          <w:rFonts w:ascii="Arial" w:hAnsi="Arial" w:cs="Arial"/>
          <w:bCs/>
        </w:rPr>
        <w:t xml:space="preserve">Proactively checking PA requirements for prescriptions eliminates pharmacy phone calls about prescriptions requiring PA before they can be filled. </w:t>
      </w:r>
      <w:r>
        <w:rPr>
          <w:rFonts w:ascii="Arial" w:hAnsi="Arial" w:cs="Arial"/>
          <w:bCs/>
        </w:rPr>
        <w:t>Learning of</w:t>
      </w:r>
      <w:r w:rsidRPr="00865633">
        <w:rPr>
          <w:rFonts w:ascii="Arial" w:hAnsi="Arial" w:cs="Arial"/>
          <w:bCs/>
        </w:rPr>
        <w:t xml:space="preserve"> PA requirements after prescriptions have been sent to the pharmacy not only disrupts the practice workflow, it increases the chances that patients will be delayed in receiving prescribed medications—or even worse, never receive them at all.</w:t>
      </w:r>
    </w:p>
    <w:p w14:paraId="35B40CCD" w14:textId="77777777" w:rsidR="00865633" w:rsidRPr="00865633" w:rsidRDefault="00865633" w:rsidP="00865633">
      <w:pPr>
        <w:ind w:left="720"/>
        <w:rPr>
          <w:rFonts w:ascii="Arial" w:hAnsi="Arial" w:cs="Arial"/>
          <w:bCs/>
        </w:rPr>
      </w:pPr>
    </w:p>
    <w:p w14:paraId="4E70DF9D" w14:textId="735B0EA8" w:rsidR="00FA2337" w:rsidRDefault="00865633" w:rsidP="00441F0B">
      <w:pPr>
        <w:ind w:left="720"/>
        <w:rPr>
          <w:rFonts w:ascii="Arial" w:hAnsi="Arial" w:cs="Arial"/>
          <w:bCs/>
        </w:rPr>
      </w:pPr>
      <w:r w:rsidRPr="00865633">
        <w:rPr>
          <w:rFonts w:ascii="Arial" w:hAnsi="Arial" w:cs="Arial"/>
          <w:bCs/>
        </w:rPr>
        <w:t xml:space="preserve">Ideally, physicians are alerted of PA requirements at the point of prescribing through formulary data in the electronic health record (EHR). Physicians may also be aware of PA requirements because they frequently prescribe a </w:t>
      </w:r>
      <w:proofErr w:type="gramStart"/>
      <w:r w:rsidRPr="00865633">
        <w:rPr>
          <w:rFonts w:ascii="Arial" w:hAnsi="Arial" w:cs="Arial"/>
          <w:bCs/>
        </w:rPr>
        <w:t>particular medication</w:t>
      </w:r>
      <w:proofErr w:type="gramEnd"/>
      <w:r w:rsidRPr="00865633">
        <w:rPr>
          <w:rFonts w:ascii="Arial" w:hAnsi="Arial" w:cs="Arial"/>
          <w:bCs/>
        </w:rPr>
        <w:t xml:space="preserve">, use a reference source, or contact the payer. Still, the physician often won’t know that PA is required until after the patient has tried to fill the prescription at the pharmacy, which can lead to treatment abandonment. Current industry efforts to implement real-time pharmacy </w:t>
      </w:r>
      <w:r w:rsidR="004B2A20">
        <w:rPr>
          <w:rFonts w:ascii="Arial" w:hAnsi="Arial" w:cs="Arial"/>
          <w:bCs/>
        </w:rPr>
        <w:t xml:space="preserve">benefit (RTPB) </w:t>
      </w:r>
      <w:r w:rsidRPr="00865633">
        <w:rPr>
          <w:rFonts w:ascii="Arial" w:hAnsi="Arial" w:cs="Arial"/>
          <w:bCs/>
        </w:rPr>
        <w:t>tools</w:t>
      </w:r>
      <w:r w:rsidR="00441F0B">
        <w:rPr>
          <w:rFonts w:ascii="Arial" w:hAnsi="Arial" w:cs="Arial"/>
          <w:bCs/>
        </w:rPr>
        <w:t xml:space="preserve"> in the EHR workflow</w:t>
      </w:r>
      <w:r w:rsidRPr="00865633">
        <w:rPr>
          <w:rFonts w:ascii="Arial" w:hAnsi="Arial" w:cs="Arial"/>
          <w:bCs/>
        </w:rPr>
        <w:t xml:space="preserve"> that offer information about PA requirements, as well as the patient’s co-pay</w:t>
      </w:r>
      <w:r w:rsidR="008E57E1">
        <w:rPr>
          <w:rFonts w:ascii="Arial" w:hAnsi="Arial" w:cs="Arial"/>
          <w:bCs/>
        </w:rPr>
        <w:t xml:space="preserve"> and drug coverage,</w:t>
      </w:r>
      <w:r w:rsidRPr="00865633">
        <w:rPr>
          <w:rFonts w:ascii="Arial" w:hAnsi="Arial" w:cs="Arial"/>
          <w:bCs/>
        </w:rPr>
        <w:t xml:space="preserve"> may help address this issue and allow physicians to quickly assess PA requirements at the time of prescribing.</w:t>
      </w:r>
      <w:r w:rsidR="00FA2337">
        <w:rPr>
          <w:rFonts w:ascii="Arial" w:hAnsi="Arial" w:cs="Arial"/>
          <w:bCs/>
        </w:rPr>
        <w:t xml:space="preserve"> </w:t>
      </w:r>
    </w:p>
    <w:p w14:paraId="297A1EF7" w14:textId="77777777" w:rsidR="00FA2337" w:rsidRDefault="00FA2337" w:rsidP="00441F0B">
      <w:pPr>
        <w:ind w:left="720"/>
        <w:rPr>
          <w:rFonts w:ascii="Arial" w:hAnsi="Arial" w:cs="Arial"/>
          <w:bCs/>
        </w:rPr>
      </w:pPr>
    </w:p>
    <w:p w14:paraId="575BF248" w14:textId="64C122F3" w:rsidR="00865633" w:rsidRPr="00865633" w:rsidRDefault="004B2A20" w:rsidP="00441F0B">
      <w:pPr>
        <w:ind w:left="720"/>
        <w:rPr>
          <w:rFonts w:ascii="Arial" w:hAnsi="Arial" w:cs="Arial"/>
          <w:bCs/>
        </w:rPr>
      </w:pPr>
      <w:r>
        <w:rPr>
          <w:rFonts w:ascii="Arial" w:hAnsi="Arial" w:cs="Arial"/>
          <w:bCs/>
        </w:rPr>
        <w:t>Depending on the individual patient and specific clinical scenario, you may decide to prescribe a therapeutically equivalent medication in the same drug class that doesn’t require PA under the patient’s prescription drug plan. RTPB</w:t>
      </w:r>
      <w:r w:rsidR="008E57E1">
        <w:rPr>
          <w:rFonts w:ascii="Arial" w:hAnsi="Arial" w:cs="Arial"/>
          <w:bCs/>
        </w:rPr>
        <w:t xml:space="preserve"> </w:t>
      </w:r>
      <w:r>
        <w:rPr>
          <w:rFonts w:ascii="Arial" w:hAnsi="Arial" w:cs="Arial"/>
          <w:bCs/>
        </w:rPr>
        <w:t>tools can display information about these alternative medications that do not require PA</w:t>
      </w:r>
      <w:r w:rsidR="008E57E1">
        <w:rPr>
          <w:rFonts w:ascii="Arial" w:hAnsi="Arial" w:cs="Arial"/>
          <w:bCs/>
        </w:rPr>
        <w:t xml:space="preserve"> and/or are preferred by the patient’s plan. Accessing this information in your EHR while you are making prescribing decisions may lead you to select an alternative medication without PA requirements</w:t>
      </w:r>
      <w:r>
        <w:rPr>
          <w:rFonts w:ascii="Arial" w:hAnsi="Arial" w:cs="Arial"/>
          <w:bCs/>
        </w:rPr>
        <w:t xml:space="preserve"> before sending the prescription to the pharmacy</w:t>
      </w:r>
      <w:r w:rsidR="008E57E1">
        <w:rPr>
          <w:rFonts w:ascii="Arial" w:hAnsi="Arial" w:cs="Arial"/>
          <w:bCs/>
        </w:rPr>
        <w:t>. If your EHR does not yet have a</w:t>
      </w:r>
      <w:r w:rsidR="006E7DBC">
        <w:rPr>
          <w:rFonts w:ascii="Arial" w:hAnsi="Arial" w:cs="Arial"/>
          <w:bCs/>
        </w:rPr>
        <w:t>n</w:t>
      </w:r>
      <w:r w:rsidR="008E57E1">
        <w:rPr>
          <w:rFonts w:ascii="Arial" w:hAnsi="Arial" w:cs="Arial"/>
          <w:bCs/>
        </w:rPr>
        <w:t xml:space="preserve"> </w:t>
      </w:r>
      <w:r>
        <w:rPr>
          <w:rFonts w:ascii="Arial" w:hAnsi="Arial" w:cs="Arial"/>
          <w:bCs/>
        </w:rPr>
        <w:t>RTPB</w:t>
      </w:r>
      <w:r w:rsidR="008E57E1">
        <w:rPr>
          <w:rFonts w:ascii="Arial" w:hAnsi="Arial" w:cs="Arial"/>
          <w:bCs/>
        </w:rPr>
        <w:t xml:space="preserve"> tool</w:t>
      </w:r>
      <w:r w:rsidR="00D9291B">
        <w:rPr>
          <w:rFonts w:ascii="Arial" w:hAnsi="Arial" w:cs="Arial"/>
          <w:bCs/>
        </w:rPr>
        <w:t xml:space="preserve"> and a</w:t>
      </w:r>
      <w:r w:rsidR="00FA2337" w:rsidRPr="00FA2337">
        <w:rPr>
          <w:rFonts w:ascii="Arial" w:hAnsi="Arial" w:cs="Arial"/>
          <w:bCs/>
        </w:rPr>
        <w:t xml:space="preserve"> pharmacy </w:t>
      </w:r>
      <w:r>
        <w:rPr>
          <w:rFonts w:ascii="Arial" w:hAnsi="Arial" w:cs="Arial"/>
          <w:bCs/>
        </w:rPr>
        <w:t xml:space="preserve">later </w:t>
      </w:r>
      <w:r w:rsidR="00FA2337" w:rsidRPr="00FA2337">
        <w:rPr>
          <w:rFonts w:ascii="Arial" w:hAnsi="Arial" w:cs="Arial"/>
          <w:bCs/>
        </w:rPr>
        <w:t xml:space="preserve">rejects the prescription because of an unknown PA requirement, it </w:t>
      </w:r>
      <w:r w:rsidR="00D9291B">
        <w:rPr>
          <w:rFonts w:ascii="Arial" w:hAnsi="Arial" w:cs="Arial"/>
          <w:bCs/>
        </w:rPr>
        <w:t xml:space="preserve">may be </w:t>
      </w:r>
      <w:r w:rsidR="00FA2337" w:rsidRPr="00FA2337">
        <w:rPr>
          <w:rFonts w:ascii="Arial" w:hAnsi="Arial" w:cs="Arial"/>
          <w:bCs/>
        </w:rPr>
        <w:t>beneficial</w:t>
      </w:r>
      <w:r>
        <w:rPr>
          <w:rFonts w:ascii="Arial" w:hAnsi="Arial" w:cs="Arial"/>
          <w:bCs/>
        </w:rPr>
        <w:t xml:space="preserve"> for your practice</w:t>
      </w:r>
      <w:r w:rsidR="00FA2337" w:rsidRPr="00FA2337">
        <w:rPr>
          <w:rFonts w:ascii="Arial" w:hAnsi="Arial" w:cs="Arial"/>
          <w:bCs/>
        </w:rPr>
        <w:t xml:space="preserve"> to have an established protocol </w:t>
      </w:r>
      <w:r>
        <w:rPr>
          <w:rFonts w:ascii="Arial" w:hAnsi="Arial" w:cs="Arial"/>
          <w:bCs/>
        </w:rPr>
        <w:t xml:space="preserve">that will allow team members to approve substitution of an equivalent medication in the same drug class that doesn’t require PA under the patient’s </w:t>
      </w:r>
      <w:r w:rsidR="009E1D29">
        <w:rPr>
          <w:rFonts w:ascii="Arial" w:hAnsi="Arial" w:cs="Arial"/>
          <w:bCs/>
        </w:rPr>
        <w:t xml:space="preserve">drug </w:t>
      </w:r>
      <w:r>
        <w:rPr>
          <w:rFonts w:ascii="Arial" w:hAnsi="Arial" w:cs="Arial"/>
          <w:bCs/>
        </w:rPr>
        <w:t xml:space="preserve">benefit. </w:t>
      </w:r>
      <w:r w:rsidR="00696647">
        <w:rPr>
          <w:rFonts w:ascii="Arial" w:hAnsi="Arial" w:cs="Arial"/>
          <w:bCs/>
        </w:rPr>
        <w:t xml:space="preserve">While </w:t>
      </w:r>
      <w:r>
        <w:rPr>
          <w:rFonts w:ascii="Arial" w:hAnsi="Arial" w:cs="Arial"/>
          <w:bCs/>
        </w:rPr>
        <w:t xml:space="preserve">RTPB tools offer the most efficient </w:t>
      </w:r>
      <w:r w:rsidR="00696647">
        <w:rPr>
          <w:rFonts w:ascii="Arial" w:hAnsi="Arial" w:cs="Arial"/>
          <w:bCs/>
        </w:rPr>
        <w:t>method for identifying</w:t>
      </w:r>
      <w:r>
        <w:rPr>
          <w:rFonts w:ascii="Arial" w:hAnsi="Arial" w:cs="Arial"/>
          <w:bCs/>
        </w:rPr>
        <w:t xml:space="preserve"> equivalent medications that don’t require PA, a practice workflow that e</w:t>
      </w:r>
      <w:r w:rsidR="00031481">
        <w:rPr>
          <w:rFonts w:ascii="Arial" w:hAnsi="Arial" w:cs="Arial"/>
          <w:bCs/>
        </w:rPr>
        <w:t>mpowers</w:t>
      </w:r>
      <w:r>
        <w:rPr>
          <w:rFonts w:ascii="Arial" w:hAnsi="Arial" w:cs="Arial"/>
          <w:bCs/>
        </w:rPr>
        <w:t xml:space="preserve"> practice staff to address rejected pharmacy claims and </w:t>
      </w:r>
      <w:r w:rsidR="00696647">
        <w:rPr>
          <w:rFonts w:ascii="Arial" w:hAnsi="Arial" w:cs="Arial"/>
          <w:bCs/>
        </w:rPr>
        <w:t>change prescriptions to appropriate alternatives without formulary restrictions can also improve practice efficiency.</w:t>
      </w:r>
    </w:p>
    <w:p w14:paraId="7D6A9DE0" w14:textId="77777777" w:rsidR="00865633" w:rsidRPr="00865633" w:rsidRDefault="00865633" w:rsidP="00865633">
      <w:pPr>
        <w:rPr>
          <w:rFonts w:ascii="Arial" w:hAnsi="Arial" w:cs="Arial"/>
          <w:b/>
        </w:rPr>
      </w:pPr>
    </w:p>
    <w:p w14:paraId="6E734877" w14:textId="1CB3EBC8" w:rsidR="00865633" w:rsidRPr="00DE49F0" w:rsidRDefault="00865633" w:rsidP="00865633">
      <w:pPr>
        <w:spacing w:after="200"/>
        <w:rPr>
          <w:rFonts w:ascii="Arial" w:hAnsi="Arial" w:cs="Arial"/>
          <w:b/>
          <w:color w:val="00B0F0"/>
          <w:sz w:val="26"/>
          <w:szCs w:val="26"/>
        </w:rPr>
      </w:pPr>
      <w:r w:rsidRPr="00DE49F0">
        <w:rPr>
          <w:rFonts w:ascii="Arial" w:hAnsi="Arial" w:cs="Arial"/>
          <w:b/>
          <w:color w:val="00B0F0"/>
          <w:sz w:val="26"/>
          <w:szCs w:val="26"/>
        </w:rPr>
        <w:t>Tip #2: Establish a protocol to consistently document data required for medication PAs in the medical record (</w:t>
      </w:r>
      <w:proofErr w:type="spellStart"/>
      <w:r w:rsidRPr="00DE49F0">
        <w:rPr>
          <w:rFonts w:ascii="Arial" w:hAnsi="Arial" w:cs="Arial"/>
          <w:b/>
          <w:color w:val="00B0F0"/>
          <w:sz w:val="26"/>
          <w:szCs w:val="26"/>
        </w:rPr>
        <w:t>eg</w:t>
      </w:r>
      <w:proofErr w:type="spellEnd"/>
      <w:r w:rsidRPr="00DE49F0">
        <w:rPr>
          <w:rFonts w:ascii="Arial" w:hAnsi="Arial" w:cs="Arial"/>
          <w:b/>
          <w:color w:val="00B0F0"/>
          <w:sz w:val="26"/>
          <w:szCs w:val="26"/>
        </w:rPr>
        <w:t>, patient-specific contraindications, failed therapies, etc.)</w:t>
      </w:r>
    </w:p>
    <w:p w14:paraId="37E3FE0F" w14:textId="098D3493" w:rsidR="00865633" w:rsidRPr="00865633" w:rsidRDefault="00865633" w:rsidP="00865633">
      <w:pPr>
        <w:ind w:left="720"/>
        <w:rPr>
          <w:rFonts w:ascii="Arial" w:hAnsi="Arial" w:cs="Arial"/>
          <w:bCs/>
        </w:rPr>
      </w:pPr>
      <w:r>
        <w:rPr>
          <w:rFonts w:ascii="Arial" w:hAnsi="Arial" w:cs="Arial"/>
          <w:bCs/>
        </w:rPr>
        <w:t>PA completion can be accelerated when</w:t>
      </w:r>
      <w:r w:rsidRPr="00865633">
        <w:rPr>
          <w:rFonts w:ascii="Arial" w:hAnsi="Arial" w:cs="Arial"/>
          <w:bCs/>
        </w:rPr>
        <w:t xml:space="preserve"> concise, complete information</w:t>
      </w:r>
      <w:r>
        <w:rPr>
          <w:rFonts w:ascii="Arial" w:hAnsi="Arial" w:cs="Arial"/>
          <w:bCs/>
        </w:rPr>
        <w:t>, including a full medical history, is</w:t>
      </w:r>
      <w:r w:rsidRPr="00865633">
        <w:rPr>
          <w:rFonts w:ascii="Arial" w:hAnsi="Arial" w:cs="Arial"/>
          <w:bCs/>
        </w:rPr>
        <w:t xml:space="preserve"> readily available in the medical record. </w:t>
      </w:r>
      <w:r w:rsidR="00441F0B">
        <w:rPr>
          <w:rFonts w:ascii="Arial" w:hAnsi="Arial" w:cs="Arial"/>
          <w:bCs/>
        </w:rPr>
        <w:t>This</w:t>
      </w:r>
      <w:r w:rsidRPr="00865633">
        <w:rPr>
          <w:rFonts w:ascii="Arial" w:hAnsi="Arial" w:cs="Arial"/>
          <w:bCs/>
        </w:rPr>
        <w:t xml:space="preserve"> also minimizes physician involvement in PA, as other staff can retrieve the needed information from the medical record and submit it to the health plan on the physician’s behalf. Finally, quality documentation prevents follow-up patient contact or additional appointments to obtain information needed to fulfill PA requirements.</w:t>
      </w:r>
    </w:p>
    <w:p w14:paraId="40966462" w14:textId="77777777" w:rsidR="00865633" w:rsidRPr="00865633" w:rsidRDefault="00865633" w:rsidP="00865633">
      <w:pPr>
        <w:ind w:left="720"/>
        <w:rPr>
          <w:rFonts w:ascii="Arial" w:hAnsi="Arial" w:cs="Arial"/>
          <w:bCs/>
        </w:rPr>
      </w:pPr>
    </w:p>
    <w:p w14:paraId="5DD1B415" w14:textId="77777777" w:rsidR="0062130F" w:rsidRDefault="0062130F" w:rsidP="00441F0B">
      <w:pPr>
        <w:spacing w:after="200"/>
        <w:rPr>
          <w:rFonts w:ascii="Arial" w:hAnsi="Arial" w:cs="Arial"/>
          <w:b/>
          <w:color w:val="00B0F0"/>
          <w:sz w:val="26"/>
          <w:szCs w:val="26"/>
        </w:rPr>
      </w:pPr>
      <w:r>
        <w:rPr>
          <w:rFonts w:ascii="Arial" w:hAnsi="Arial" w:cs="Arial"/>
          <w:b/>
          <w:color w:val="00B0F0"/>
          <w:sz w:val="26"/>
          <w:szCs w:val="26"/>
        </w:rPr>
        <w:br w:type="page"/>
      </w:r>
      <w:bookmarkStart w:id="0" w:name="_GoBack"/>
      <w:bookmarkEnd w:id="0"/>
    </w:p>
    <w:p w14:paraId="6495E2C2" w14:textId="4ED85F6D" w:rsidR="00865633" w:rsidRPr="00DE49F0" w:rsidRDefault="00865633" w:rsidP="00441F0B">
      <w:pPr>
        <w:spacing w:after="200"/>
        <w:rPr>
          <w:rFonts w:ascii="Arial" w:hAnsi="Arial" w:cs="Arial"/>
          <w:b/>
          <w:color w:val="00B0F0"/>
          <w:sz w:val="26"/>
          <w:szCs w:val="26"/>
        </w:rPr>
      </w:pPr>
      <w:r w:rsidRPr="00DE49F0">
        <w:rPr>
          <w:rFonts w:ascii="Arial" w:hAnsi="Arial" w:cs="Arial"/>
          <w:b/>
          <w:color w:val="00B0F0"/>
          <w:sz w:val="26"/>
          <w:szCs w:val="26"/>
        </w:rPr>
        <w:lastRenderedPageBreak/>
        <w:t>Tip #3: Select the PA method that will be most efficient, given the specific situation and health plan/pharmacy benefit manager’s PA options</w:t>
      </w:r>
    </w:p>
    <w:p w14:paraId="69ADE33D" w14:textId="10FA5BAB" w:rsidR="008778A2" w:rsidRDefault="00865633" w:rsidP="008778A2">
      <w:pPr>
        <w:ind w:left="720"/>
        <w:rPr>
          <w:rFonts w:ascii="Arial" w:hAnsi="Arial" w:cs="Arial"/>
          <w:bCs/>
        </w:rPr>
      </w:pPr>
      <w:r w:rsidRPr="00441F0B">
        <w:rPr>
          <w:rFonts w:ascii="Arial" w:hAnsi="Arial" w:cs="Arial"/>
          <w:bCs/>
        </w:rPr>
        <w:t xml:space="preserve">While there has been increased interest in automating the PA process in recent years, widespread adoption of this technology has been slow. Use the table </w:t>
      </w:r>
      <w:r w:rsidR="008778A2">
        <w:rPr>
          <w:rFonts w:ascii="Arial" w:hAnsi="Arial" w:cs="Arial"/>
          <w:bCs/>
        </w:rPr>
        <w:t>on the last page of this tip sheet</w:t>
      </w:r>
      <w:r w:rsidRPr="00441F0B">
        <w:rPr>
          <w:rFonts w:ascii="Arial" w:hAnsi="Arial" w:cs="Arial"/>
          <w:bCs/>
        </w:rPr>
        <w:t xml:space="preserve"> to help your practice evaluate the various existing PA methods and choose the option that will best fit your workflow and the specific situation/health plan.</w:t>
      </w:r>
    </w:p>
    <w:p w14:paraId="6F9B56D5" w14:textId="77777777" w:rsidR="008778A2" w:rsidRDefault="008778A2" w:rsidP="008778A2">
      <w:pPr>
        <w:ind w:left="720"/>
        <w:rPr>
          <w:rFonts w:ascii="Arial" w:hAnsi="Arial" w:cs="Arial"/>
          <w:bCs/>
        </w:rPr>
      </w:pPr>
    </w:p>
    <w:p w14:paraId="00DBFA64" w14:textId="253DDA8E" w:rsidR="008778A2" w:rsidRPr="00DE49F0" w:rsidRDefault="008778A2" w:rsidP="008778A2">
      <w:pPr>
        <w:spacing w:after="200"/>
        <w:rPr>
          <w:rFonts w:ascii="Arial" w:hAnsi="Arial" w:cs="Arial"/>
          <w:b/>
          <w:color w:val="00B0F0"/>
          <w:sz w:val="26"/>
          <w:szCs w:val="26"/>
        </w:rPr>
      </w:pPr>
      <w:r w:rsidRPr="00DE49F0">
        <w:rPr>
          <w:rFonts w:ascii="Arial" w:hAnsi="Arial" w:cs="Arial"/>
          <w:b/>
          <w:color w:val="00B0F0"/>
          <w:sz w:val="26"/>
          <w:szCs w:val="26"/>
        </w:rPr>
        <w:t>Tip #4: Regularly follow-up to ensure timely PA approval</w:t>
      </w:r>
    </w:p>
    <w:p w14:paraId="2866E591" w14:textId="4631E08A" w:rsidR="008778A2" w:rsidRPr="008778A2" w:rsidRDefault="008778A2" w:rsidP="008778A2">
      <w:pPr>
        <w:widowControl/>
        <w:autoSpaceDE/>
        <w:autoSpaceDN/>
        <w:adjustRightInd/>
        <w:spacing w:after="160" w:line="259" w:lineRule="auto"/>
        <w:ind w:left="720"/>
        <w:rPr>
          <w:rFonts w:ascii="Arial" w:hAnsi="Arial" w:cs="Arial"/>
          <w:bCs/>
        </w:rPr>
      </w:pPr>
      <w:r w:rsidRPr="008778A2">
        <w:rPr>
          <w:rFonts w:ascii="Arial" w:hAnsi="Arial" w:cs="Arial"/>
          <w:bCs/>
        </w:rPr>
        <w:t>Because the PA process is primarily manual, PA requests can be lost or delayed. As a result, it is critical for practices to track PA requests and to follow-up when decisions are not communicated in a timely manner</w:t>
      </w:r>
      <w:r>
        <w:rPr>
          <w:rFonts w:ascii="Arial" w:hAnsi="Arial" w:cs="Arial"/>
          <w:bCs/>
        </w:rPr>
        <w:t>.</w:t>
      </w:r>
    </w:p>
    <w:p w14:paraId="4920E001" w14:textId="19934065" w:rsidR="008778A2" w:rsidRDefault="008778A2" w:rsidP="008778A2">
      <w:pPr>
        <w:widowControl/>
        <w:autoSpaceDE/>
        <w:autoSpaceDN/>
        <w:adjustRightInd/>
        <w:spacing w:after="160" w:line="259" w:lineRule="auto"/>
        <w:ind w:left="720"/>
        <w:rPr>
          <w:rFonts w:ascii="Arial" w:hAnsi="Arial" w:cs="Arial"/>
          <w:bCs/>
        </w:rPr>
      </w:pPr>
      <w:r w:rsidRPr="008778A2">
        <w:rPr>
          <w:rFonts w:ascii="Arial" w:hAnsi="Arial" w:cs="Arial"/>
          <w:bCs/>
        </w:rPr>
        <w:t>Dated and time-stamped PA submission materials, along with a formalized follow-up process,</w:t>
      </w:r>
      <w:r>
        <w:rPr>
          <w:rFonts w:ascii="Arial" w:hAnsi="Arial" w:cs="Arial"/>
          <w:bCs/>
        </w:rPr>
        <w:t xml:space="preserve"> </w:t>
      </w:r>
      <w:r w:rsidRPr="008778A2">
        <w:rPr>
          <w:rFonts w:ascii="Arial" w:hAnsi="Arial" w:cs="Arial"/>
          <w:bCs/>
        </w:rPr>
        <w:t>ensure that submitted PA requests don’t fall through the cracks. Many practices find “tickler” (</w:t>
      </w:r>
      <w:proofErr w:type="spellStart"/>
      <w:r w:rsidRPr="008778A2">
        <w:rPr>
          <w:rFonts w:ascii="Arial" w:hAnsi="Arial" w:cs="Arial"/>
          <w:bCs/>
        </w:rPr>
        <w:t>ie</w:t>
      </w:r>
      <w:proofErr w:type="spellEnd"/>
      <w:r w:rsidRPr="008778A2">
        <w:rPr>
          <w:rFonts w:ascii="Arial" w:hAnsi="Arial" w:cs="Arial"/>
          <w:bCs/>
        </w:rPr>
        <w:t xml:space="preserve">, reminder) files helpful in triggering follow-up with health plans regarding delayed responses. In addition, the pharmacy </w:t>
      </w:r>
      <w:r>
        <w:rPr>
          <w:rFonts w:ascii="Arial" w:hAnsi="Arial" w:cs="Arial"/>
          <w:bCs/>
        </w:rPr>
        <w:t>electronic PA (</w:t>
      </w:r>
      <w:r w:rsidRPr="008778A2">
        <w:rPr>
          <w:rFonts w:ascii="Arial" w:hAnsi="Arial" w:cs="Arial"/>
          <w:bCs/>
        </w:rPr>
        <w:t>ePA</w:t>
      </w:r>
      <w:r>
        <w:rPr>
          <w:rFonts w:ascii="Arial" w:hAnsi="Arial" w:cs="Arial"/>
          <w:bCs/>
        </w:rPr>
        <w:t xml:space="preserve">) </w:t>
      </w:r>
      <w:r w:rsidRPr="008778A2">
        <w:rPr>
          <w:rFonts w:ascii="Arial" w:hAnsi="Arial" w:cs="Arial"/>
          <w:bCs/>
        </w:rPr>
        <w:t>process includes a computerized audit capability to confirm when information has been received by the health plan or benefit manager. Practices can also view a list of electronically submitted and pending prescription PAs in their EHRs with ePA.</w:t>
      </w:r>
    </w:p>
    <w:p w14:paraId="033437EF" w14:textId="77777777" w:rsidR="008778A2" w:rsidRPr="00DE49F0" w:rsidRDefault="008778A2" w:rsidP="008778A2">
      <w:pPr>
        <w:widowControl/>
        <w:autoSpaceDE/>
        <w:autoSpaceDN/>
        <w:adjustRightInd/>
        <w:spacing w:after="160" w:line="259" w:lineRule="auto"/>
        <w:rPr>
          <w:rFonts w:ascii="Arial" w:hAnsi="Arial" w:cs="Arial"/>
          <w:b/>
          <w:color w:val="00B0F0"/>
          <w:sz w:val="26"/>
          <w:szCs w:val="26"/>
        </w:rPr>
      </w:pPr>
      <w:r w:rsidRPr="00DE49F0">
        <w:rPr>
          <w:rFonts w:ascii="Arial" w:hAnsi="Arial" w:cs="Arial"/>
          <w:b/>
          <w:color w:val="00B0F0"/>
          <w:sz w:val="26"/>
          <w:szCs w:val="26"/>
        </w:rPr>
        <w:t>Tip #5: When a PA is inappropriately denied, submit an organized, concise, and well-articulated appeal with supporting clinical information</w:t>
      </w:r>
    </w:p>
    <w:p w14:paraId="480488FE" w14:textId="106A055E" w:rsidR="008778A2" w:rsidRPr="008778A2" w:rsidRDefault="008778A2" w:rsidP="008778A2">
      <w:pPr>
        <w:widowControl/>
        <w:autoSpaceDE/>
        <w:autoSpaceDN/>
        <w:adjustRightInd/>
        <w:spacing w:after="160" w:line="259" w:lineRule="auto"/>
        <w:ind w:left="720"/>
        <w:rPr>
          <w:rFonts w:ascii="Arial" w:hAnsi="Arial" w:cs="Arial"/>
          <w:bCs/>
        </w:rPr>
      </w:pPr>
      <w:r w:rsidRPr="008778A2">
        <w:rPr>
          <w:rFonts w:ascii="Arial" w:hAnsi="Arial" w:cs="Arial"/>
          <w:bCs/>
        </w:rPr>
        <w:t xml:space="preserve">Under the Affordable Care Act, all health plans are required to have an appeal process for denied PAs. If the health plan upholds its initial decision, an external appeal by an independent third-party reviewer may be requested. Physicians can request an urgent or expedited review of PA appeals, with decisions completed within 72 hours or sooner, depending on the medical urgency of the situation. Many states have appeals requirements that are even more stringent than federal law. </w:t>
      </w:r>
    </w:p>
    <w:p w14:paraId="7784EF9F" w14:textId="4B8CF5E5" w:rsidR="008778A2" w:rsidRDefault="008778A2" w:rsidP="008E6BB8">
      <w:pPr>
        <w:widowControl/>
        <w:autoSpaceDE/>
        <w:autoSpaceDN/>
        <w:adjustRightInd/>
        <w:spacing w:after="160" w:line="259" w:lineRule="auto"/>
        <w:ind w:left="720"/>
        <w:rPr>
          <w:rFonts w:ascii="Arial" w:hAnsi="Arial" w:cs="Arial"/>
          <w:bCs/>
        </w:rPr>
      </w:pPr>
      <w:r w:rsidRPr="008778A2">
        <w:rPr>
          <w:rFonts w:ascii="Arial" w:hAnsi="Arial" w:cs="Arial"/>
          <w:bCs/>
        </w:rPr>
        <w:t>To maximize your chance of success of overturning a denial on appeal, ensure that any data that may have been missing with the initial PA request is included with the appeal. Prescription</w:t>
      </w:r>
      <w:r>
        <w:rPr>
          <w:rFonts w:ascii="Arial" w:hAnsi="Arial" w:cs="Arial"/>
          <w:bCs/>
        </w:rPr>
        <w:t xml:space="preserve"> </w:t>
      </w:r>
      <w:r w:rsidRPr="008778A2">
        <w:rPr>
          <w:rFonts w:ascii="Arial" w:hAnsi="Arial" w:cs="Arial"/>
          <w:bCs/>
        </w:rPr>
        <w:t xml:space="preserve">PA appeals can be further streamlined with ePA technology, which enables physicians to submit appeal requests and supporting information electronically through their EHR system. Additional resources to help physicians and practice staff successfully navigate the appeals process are available at </w:t>
      </w:r>
      <w:r w:rsidR="00005960" w:rsidRPr="00005960">
        <w:rPr>
          <w:rStyle w:val="Hyperlink"/>
          <w:rFonts w:ascii="Arial" w:hAnsi="Arial" w:cs="Arial"/>
          <w:bCs/>
        </w:rPr>
        <w:t>https://www.ama-assn.org/practice-management/private-payer/tools-overpayment-recovery-claims-appeals</w:t>
      </w:r>
      <w:r w:rsidRPr="008778A2">
        <w:rPr>
          <w:rFonts w:ascii="Arial" w:hAnsi="Arial" w:cs="Arial"/>
          <w:bCs/>
        </w:rPr>
        <w:t>.</w:t>
      </w:r>
    </w:p>
    <w:p w14:paraId="1E00EDFC" w14:textId="33235E7F" w:rsidR="008778A2" w:rsidRPr="00005960" w:rsidRDefault="00005960" w:rsidP="008E6BB8">
      <w:pPr>
        <w:widowControl/>
        <w:autoSpaceDE/>
        <w:autoSpaceDN/>
        <w:adjustRightInd/>
        <w:spacing w:after="160" w:line="259" w:lineRule="auto"/>
        <w:rPr>
          <w:rFonts w:ascii="Arial" w:hAnsi="Arial" w:cs="Arial"/>
          <w:bCs/>
          <w:sz w:val="26"/>
          <w:szCs w:val="26"/>
        </w:rPr>
      </w:pPr>
      <w:r>
        <w:rPr>
          <w:rFonts w:ascii="Arial" w:hAnsi="Arial" w:cs="Arial"/>
          <w:bCs/>
          <w:sz w:val="26"/>
          <w:szCs w:val="2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0"/>
        <w:gridCol w:w="3896"/>
        <w:gridCol w:w="3892"/>
      </w:tblGrid>
      <w:tr w:rsidR="00441F0B" w:rsidRPr="00B16E5D" w14:paraId="146B7E21" w14:textId="77777777" w:rsidTr="008778A2">
        <w:tc>
          <w:tcPr>
            <w:tcW w:w="5000" w:type="pct"/>
            <w:gridSpan w:val="3"/>
            <w:shd w:val="clear" w:color="auto" w:fill="000000" w:themeFill="text1"/>
          </w:tcPr>
          <w:p w14:paraId="45DB9838" w14:textId="0426E34B" w:rsidR="00441F0B" w:rsidRPr="008778A2" w:rsidRDefault="00441F0B" w:rsidP="008778A2">
            <w:pPr>
              <w:spacing w:after="200"/>
              <w:rPr>
                <w:rFonts w:ascii="Arial" w:hAnsi="Arial" w:cs="Arial"/>
                <w:b/>
                <w:szCs w:val="20"/>
              </w:rPr>
            </w:pPr>
            <w:r w:rsidRPr="008778A2">
              <w:rPr>
                <w:rFonts w:ascii="Arial" w:hAnsi="Arial" w:cs="Arial"/>
                <w:b/>
                <w:szCs w:val="20"/>
              </w:rPr>
              <w:lastRenderedPageBreak/>
              <w:t xml:space="preserve">Pros and </w:t>
            </w:r>
            <w:r w:rsidR="009C7D27">
              <w:rPr>
                <w:rFonts w:ascii="Arial" w:hAnsi="Arial" w:cs="Arial"/>
                <w:b/>
                <w:szCs w:val="20"/>
              </w:rPr>
              <w:t>C</w:t>
            </w:r>
            <w:r w:rsidRPr="008778A2">
              <w:rPr>
                <w:rFonts w:ascii="Arial" w:hAnsi="Arial" w:cs="Arial"/>
                <w:b/>
                <w:szCs w:val="20"/>
              </w:rPr>
              <w:t xml:space="preserve">ons of PA </w:t>
            </w:r>
            <w:r w:rsidR="009C7D27">
              <w:rPr>
                <w:rFonts w:ascii="Arial" w:hAnsi="Arial" w:cs="Arial"/>
                <w:b/>
                <w:szCs w:val="20"/>
              </w:rPr>
              <w:t>M</w:t>
            </w:r>
            <w:r w:rsidRPr="008778A2">
              <w:rPr>
                <w:rFonts w:ascii="Arial" w:hAnsi="Arial" w:cs="Arial"/>
                <w:b/>
                <w:szCs w:val="20"/>
              </w:rPr>
              <w:t>ethods</w:t>
            </w:r>
          </w:p>
        </w:tc>
      </w:tr>
      <w:tr w:rsidR="008778A2" w:rsidRPr="00B16E5D" w14:paraId="0888A33C" w14:textId="77777777" w:rsidTr="008778A2">
        <w:tc>
          <w:tcPr>
            <w:tcW w:w="960" w:type="pct"/>
            <w:shd w:val="clear" w:color="auto" w:fill="D9D9D9" w:themeFill="background1" w:themeFillShade="D9"/>
          </w:tcPr>
          <w:p w14:paraId="6893C821" w14:textId="11B900A4" w:rsidR="00865633" w:rsidRPr="00B47CDA" w:rsidRDefault="00865633" w:rsidP="00B16E5D">
            <w:pPr>
              <w:jc w:val="center"/>
              <w:rPr>
                <w:rFonts w:ascii="Arial" w:hAnsi="Arial" w:cs="Arial"/>
                <w:b/>
                <w:sz w:val="18"/>
                <w:szCs w:val="18"/>
              </w:rPr>
            </w:pPr>
            <w:r>
              <w:rPr>
                <w:rFonts w:ascii="Arial" w:hAnsi="Arial" w:cs="Arial"/>
                <w:b/>
                <w:sz w:val="18"/>
                <w:szCs w:val="18"/>
              </w:rPr>
              <w:t>Method</w:t>
            </w:r>
          </w:p>
        </w:tc>
        <w:tc>
          <w:tcPr>
            <w:tcW w:w="2021" w:type="pct"/>
            <w:shd w:val="clear" w:color="auto" w:fill="D9D9D9" w:themeFill="background1" w:themeFillShade="D9"/>
          </w:tcPr>
          <w:p w14:paraId="5D3D1232" w14:textId="18837CF0" w:rsidR="00865633" w:rsidRPr="00B47CDA" w:rsidRDefault="00865633" w:rsidP="00C51D69">
            <w:pPr>
              <w:jc w:val="center"/>
              <w:rPr>
                <w:rFonts w:ascii="Arial" w:hAnsi="Arial" w:cs="Arial"/>
                <w:b/>
                <w:sz w:val="18"/>
                <w:szCs w:val="18"/>
              </w:rPr>
            </w:pPr>
            <w:r>
              <w:rPr>
                <w:rFonts w:ascii="Arial" w:hAnsi="Arial" w:cs="Arial"/>
                <w:b/>
                <w:sz w:val="18"/>
                <w:szCs w:val="18"/>
              </w:rPr>
              <w:t>Pros</w:t>
            </w:r>
          </w:p>
        </w:tc>
        <w:tc>
          <w:tcPr>
            <w:tcW w:w="2019" w:type="pct"/>
            <w:shd w:val="clear" w:color="auto" w:fill="D9D9D9" w:themeFill="background1" w:themeFillShade="D9"/>
          </w:tcPr>
          <w:p w14:paraId="087195B3" w14:textId="7B254C60" w:rsidR="00865633" w:rsidRPr="00B47CDA" w:rsidRDefault="00865633" w:rsidP="00C51D69">
            <w:pPr>
              <w:jc w:val="center"/>
              <w:rPr>
                <w:rFonts w:ascii="Arial" w:hAnsi="Arial" w:cs="Arial"/>
                <w:b/>
                <w:sz w:val="18"/>
                <w:szCs w:val="18"/>
              </w:rPr>
            </w:pPr>
            <w:r>
              <w:rPr>
                <w:rFonts w:ascii="Arial" w:hAnsi="Arial" w:cs="Arial"/>
                <w:b/>
                <w:sz w:val="18"/>
                <w:szCs w:val="18"/>
              </w:rPr>
              <w:t>Cons</w:t>
            </w:r>
          </w:p>
        </w:tc>
      </w:tr>
      <w:tr w:rsidR="008778A2" w:rsidRPr="00B16E5D" w14:paraId="230A6D90" w14:textId="77777777" w:rsidTr="008778A2">
        <w:tc>
          <w:tcPr>
            <w:tcW w:w="960" w:type="pct"/>
          </w:tcPr>
          <w:p w14:paraId="01A9A5F8" w14:textId="77777777" w:rsidR="00441F0B" w:rsidRPr="00005960" w:rsidRDefault="00441F0B" w:rsidP="00441F0B">
            <w:pPr>
              <w:rPr>
                <w:rFonts w:ascii="Arial" w:hAnsi="Arial" w:cs="Arial"/>
                <w:b/>
                <w:bCs/>
                <w:sz w:val="18"/>
                <w:szCs w:val="18"/>
              </w:rPr>
            </w:pPr>
            <w:r w:rsidRPr="00005960">
              <w:rPr>
                <w:rFonts w:ascii="Arial" w:hAnsi="Arial" w:cs="Arial"/>
                <w:b/>
                <w:bCs/>
                <w:sz w:val="18"/>
                <w:szCs w:val="18"/>
              </w:rPr>
              <w:t>Standard electronic transaction</w:t>
            </w:r>
          </w:p>
          <w:p w14:paraId="13FF4376" w14:textId="77777777" w:rsidR="00441F0B" w:rsidRDefault="00441F0B" w:rsidP="00441F0B">
            <w:pPr>
              <w:rPr>
                <w:rFonts w:ascii="Arial" w:hAnsi="Arial" w:cs="Arial"/>
                <w:sz w:val="18"/>
                <w:szCs w:val="18"/>
              </w:rPr>
            </w:pPr>
          </w:p>
          <w:p w14:paraId="7CEAF8E7" w14:textId="17D902C5" w:rsidR="00865633" w:rsidRPr="00C51D69" w:rsidRDefault="00865633" w:rsidP="00441F0B">
            <w:pPr>
              <w:rPr>
                <w:rFonts w:ascii="Arial" w:hAnsi="Arial" w:cs="Arial"/>
                <w:sz w:val="18"/>
                <w:szCs w:val="18"/>
              </w:rPr>
            </w:pPr>
          </w:p>
        </w:tc>
        <w:tc>
          <w:tcPr>
            <w:tcW w:w="2021" w:type="pct"/>
          </w:tcPr>
          <w:p w14:paraId="47835F24" w14:textId="77777777" w:rsidR="00441F0B" w:rsidRDefault="00441F0B" w:rsidP="00441F0B">
            <w:pPr>
              <w:pStyle w:val="ListParagraph"/>
              <w:numPr>
                <w:ilvl w:val="0"/>
                <w:numId w:val="3"/>
              </w:numPr>
              <w:rPr>
                <w:rFonts w:ascii="Arial" w:hAnsi="Arial" w:cs="Arial"/>
                <w:sz w:val="18"/>
                <w:szCs w:val="18"/>
              </w:rPr>
            </w:pPr>
            <w:r w:rsidRPr="00441F0B">
              <w:rPr>
                <w:rFonts w:ascii="Arial" w:hAnsi="Arial" w:cs="Arial"/>
                <w:sz w:val="18"/>
                <w:szCs w:val="18"/>
              </w:rPr>
              <w:t>Electronic PA (ePA) standard developed by National Council for Prescription Drug Programs integrates with EHR and e-prescribing workflow</w:t>
            </w:r>
          </w:p>
          <w:p w14:paraId="14F28B60" w14:textId="77777777" w:rsidR="00441F0B" w:rsidRDefault="00441F0B" w:rsidP="00441F0B">
            <w:pPr>
              <w:pStyle w:val="ListParagraph"/>
              <w:numPr>
                <w:ilvl w:val="0"/>
                <w:numId w:val="3"/>
              </w:numPr>
              <w:rPr>
                <w:rFonts w:ascii="Arial" w:hAnsi="Arial" w:cs="Arial"/>
                <w:sz w:val="18"/>
                <w:szCs w:val="18"/>
              </w:rPr>
            </w:pPr>
            <w:r w:rsidRPr="00441F0B">
              <w:rPr>
                <w:rFonts w:ascii="Arial" w:hAnsi="Arial" w:cs="Arial"/>
                <w:sz w:val="18"/>
                <w:szCs w:val="18"/>
              </w:rPr>
              <w:t>Alerts the prescriber to PA requirement before issuing the prescription, allowing PA to be completed before prescription is</w:t>
            </w:r>
            <w:r>
              <w:rPr>
                <w:rFonts w:ascii="Arial" w:hAnsi="Arial" w:cs="Arial"/>
                <w:sz w:val="18"/>
                <w:szCs w:val="18"/>
              </w:rPr>
              <w:t xml:space="preserve"> </w:t>
            </w:r>
            <w:r w:rsidRPr="00441F0B">
              <w:rPr>
                <w:rFonts w:ascii="Arial" w:hAnsi="Arial" w:cs="Arial"/>
                <w:sz w:val="18"/>
                <w:szCs w:val="18"/>
              </w:rPr>
              <w:t>sent to pharmacy and reducing medication nonadherence</w:t>
            </w:r>
            <w:r>
              <w:rPr>
                <w:rFonts w:ascii="Arial" w:hAnsi="Arial" w:cs="Arial"/>
                <w:sz w:val="18"/>
                <w:szCs w:val="18"/>
              </w:rPr>
              <w:t xml:space="preserve"> </w:t>
            </w:r>
          </w:p>
          <w:p w14:paraId="06B97D5C" w14:textId="77777777" w:rsidR="00441F0B" w:rsidRDefault="00441F0B" w:rsidP="00441F0B">
            <w:pPr>
              <w:pStyle w:val="ListParagraph"/>
              <w:numPr>
                <w:ilvl w:val="0"/>
                <w:numId w:val="3"/>
              </w:numPr>
              <w:rPr>
                <w:rFonts w:ascii="Arial" w:hAnsi="Arial" w:cs="Arial"/>
                <w:sz w:val="18"/>
                <w:szCs w:val="18"/>
              </w:rPr>
            </w:pPr>
            <w:r w:rsidRPr="00441F0B">
              <w:rPr>
                <w:rFonts w:ascii="Arial" w:hAnsi="Arial" w:cs="Arial"/>
                <w:sz w:val="18"/>
                <w:szCs w:val="18"/>
              </w:rPr>
              <w:t>PA questions are presented</w:t>
            </w:r>
            <w:r>
              <w:rPr>
                <w:rFonts w:ascii="Arial" w:hAnsi="Arial" w:cs="Arial"/>
                <w:sz w:val="18"/>
                <w:szCs w:val="18"/>
              </w:rPr>
              <w:t xml:space="preserve"> </w:t>
            </w:r>
            <w:r w:rsidRPr="00441F0B">
              <w:rPr>
                <w:rFonts w:ascii="Arial" w:hAnsi="Arial" w:cs="Arial"/>
                <w:sz w:val="18"/>
                <w:szCs w:val="18"/>
              </w:rPr>
              <w:t>onscreen for prescriber or staff</w:t>
            </w:r>
          </w:p>
          <w:p w14:paraId="58686FA9" w14:textId="77777777" w:rsidR="00441F0B" w:rsidRDefault="00441F0B" w:rsidP="00441F0B">
            <w:pPr>
              <w:pStyle w:val="ListParagraph"/>
              <w:numPr>
                <w:ilvl w:val="0"/>
                <w:numId w:val="3"/>
              </w:numPr>
              <w:rPr>
                <w:rFonts w:ascii="Arial" w:hAnsi="Arial" w:cs="Arial"/>
                <w:sz w:val="18"/>
                <w:szCs w:val="18"/>
              </w:rPr>
            </w:pPr>
            <w:r w:rsidRPr="00441F0B">
              <w:rPr>
                <w:rFonts w:ascii="Arial" w:hAnsi="Arial" w:cs="Arial"/>
                <w:sz w:val="18"/>
                <w:szCs w:val="18"/>
              </w:rPr>
              <w:t>Conditional logic ensures that</w:t>
            </w:r>
            <w:r>
              <w:rPr>
                <w:rFonts w:ascii="Arial" w:hAnsi="Arial" w:cs="Arial"/>
                <w:sz w:val="18"/>
                <w:szCs w:val="18"/>
              </w:rPr>
              <w:t xml:space="preserve"> </w:t>
            </w:r>
            <w:r w:rsidRPr="00441F0B">
              <w:rPr>
                <w:rFonts w:ascii="Arial" w:hAnsi="Arial" w:cs="Arial"/>
                <w:sz w:val="18"/>
                <w:szCs w:val="18"/>
              </w:rPr>
              <w:t>physician only answers relevant</w:t>
            </w:r>
            <w:r>
              <w:rPr>
                <w:rFonts w:ascii="Arial" w:hAnsi="Arial" w:cs="Arial"/>
                <w:sz w:val="18"/>
                <w:szCs w:val="18"/>
              </w:rPr>
              <w:t xml:space="preserve"> </w:t>
            </w:r>
            <w:r w:rsidRPr="00441F0B">
              <w:rPr>
                <w:rFonts w:ascii="Arial" w:hAnsi="Arial" w:cs="Arial"/>
                <w:sz w:val="18"/>
                <w:szCs w:val="18"/>
              </w:rPr>
              <w:t>questions</w:t>
            </w:r>
          </w:p>
          <w:p w14:paraId="1E5531AC" w14:textId="77777777" w:rsidR="00441F0B" w:rsidRDefault="00441F0B" w:rsidP="00441F0B">
            <w:pPr>
              <w:pStyle w:val="ListParagraph"/>
              <w:numPr>
                <w:ilvl w:val="0"/>
                <w:numId w:val="3"/>
              </w:numPr>
              <w:rPr>
                <w:rFonts w:ascii="Arial" w:hAnsi="Arial" w:cs="Arial"/>
                <w:sz w:val="18"/>
                <w:szCs w:val="18"/>
              </w:rPr>
            </w:pPr>
            <w:r w:rsidRPr="00441F0B">
              <w:rPr>
                <w:rFonts w:ascii="Arial" w:hAnsi="Arial" w:cs="Arial"/>
                <w:sz w:val="18"/>
                <w:szCs w:val="18"/>
              </w:rPr>
              <w:t xml:space="preserve">Average approval time significantly reduced </w:t>
            </w:r>
          </w:p>
          <w:p w14:paraId="31422094" w14:textId="33AA10D9" w:rsidR="00865633" w:rsidRPr="00441F0B" w:rsidRDefault="00441F0B" w:rsidP="00441F0B">
            <w:pPr>
              <w:pStyle w:val="ListParagraph"/>
              <w:numPr>
                <w:ilvl w:val="0"/>
                <w:numId w:val="3"/>
              </w:numPr>
              <w:rPr>
                <w:rFonts w:ascii="Arial" w:hAnsi="Arial" w:cs="Arial"/>
                <w:sz w:val="18"/>
                <w:szCs w:val="18"/>
              </w:rPr>
            </w:pPr>
            <w:r w:rsidRPr="00441F0B">
              <w:rPr>
                <w:rFonts w:ascii="Arial" w:hAnsi="Arial" w:cs="Arial"/>
                <w:sz w:val="18"/>
                <w:szCs w:val="18"/>
              </w:rPr>
              <w:t>PAs can be electronically appealed and cancelled</w:t>
            </w:r>
          </w:p>
        </w:tc>
        <w:tc>
          <w:tcPr>
            <w:tcW w:w="2019" w:type="pct"/>
          </w:tcPr>
          <w:p w14:paraId="659E8EB5" w14:textId="77777777" w:rsidR="00441F0B" w:rsidRDefault="00441F0B" w:rsidP="00441F0B">
            <w:pPr>
              <w:pStyle w:val="ListParagraph"/>
              <w:numPr>
                <w:ilvl w:val="0"/>
                <w:numId w:val="2"/>
              </w:numPr>
              <w:rPr>
                <w:rFonts w:ascii="Arial" w:hAnsi="Arial" w:cs="Arial"/>
                <w:sz w:val="18"/>
                <w:szCs w:val="18"/>
              </w:rPr>
            </w:pPr>
            <w:r w:rsidRPr="00441F0B">
              <w:rPr>
                <w:rFonts w:ascii="Arial" w:hAnsi="Arial" w:cs="Arial"/>
                <w:sz w:val="18"/>
                <w:szCs w:val="18"/>
              </w:rPr>
              <w:t>Pharmacy ePA solutions integrated into EHR workflow are not yet widely available across vendors</w:t>
            </w:r>
          </w:p>
          <w:p w14:paraId="15B747F2" w14:textId="77777777" w:rsidR="00441F0B" w:rsidRDefault="00441F0B" w:rsidP="00441F0B">
            <w:pPr>
              <w:pStyle w:val="ListParagraph"/>
              <w:numPr>
                <w:ilvl w:val="0"/>
                <w:numId w:val="2"/>
              </w:numPr>
              <w:rPr>
                <w:rFonts w:ascii="Arial" w:hAnsi="Arial" w:cs="Arial"/>
                <w:sz w:val="18"/>
                <w:szCs w:val="18"/>
              </w:rPr>
            </w:pPr>
            <w:r w:rsidRPr="00441F0B">
              <w:rPr>
                <w:rFonts w:ascii="Arial" w:hAnsi="Arial" w:cs="Arial"/>
                <w:sz w:val="18"/>
                <w:szCs w:val="18"/>
              </w:rPr>
              <w:t>PA requirement is not always known at the point of prescribing due to</w:t>
            </w:r>
            <w:r>
              <w:rPr>
                <w:rFonts w:ascii="Arial" w:hAnsi="Arial" w:cs="Arial"/>
                <w:sz w:val="18"/>
                <w:szCs w:val="18"/>
              </w:rPr>
              <w:t xml:space="preserve"> </w:t>
            </w:r>
            <w:r w:rsidRPr="00441F0B">
              <w:rPr>
                <w:rFonts w:ascii="Arial" w:hAnsi="Arial" w:cs="Arial"/>
                <w:sz w:val="18"/>
                <w:szCs w:val="18"/>
              </w:rPr>
              <w:t>inaccuracy/incompleteness of EHR drug formulary data</w:t>
            </w:r>
          </w:p>
          <w:p w14:paraId="1AE53E1F" w14:textId="04F0674A" w:rsidR="00441F0B" w:rsidRPr="00441F0B" w:rsidRDefault="00441F0B" w:rsidP="008778A2">
            <w:pPr>
              <w:pStyle w:val="ListParagraph"/>
              <w:numPr>
                <w:ilvl w:val="0"/>
                <w:numId w:val="2"/>
              </w:numPr>
              <w:spacing w:after="0"/>
              <w:rPr>
                <w:rFonts w:ascii="Arial" w:hAnsi="Arial" w:cs="Arial"/>
                <w:sz w:val="18"/>
                <w:szCs w:val="18"/>
              </w:rPr>
            </w:pPr>
            <w:r w:rsidRPr="00441F0B">
              <w:rPr>
                <w:rFonts w:ascii="Arial" w:hAnsi="Arial" w:cs="Arial"/>
                <w:sz w:val="18"/>
                <w:szCs w:val="18"/>
              </w:rPr>
              <w:t>Response may not be in real time due to manual health plan processing and review</w:t>
            </w:r>
          </w:p>
          <w:p w14:paraId="678CF6B6" w14:textId="7566B602" w:rsidR="00441F0B" w:rsidRPr="00441F0B" w:rsidRDefault="00441F0B" w:rsidP="00441F0B">
            <w:pPr>
              <w:rPr>
                <w:rFonts w:ascii="Arial" w:hAnsi="Arial" w:cs="Arial"/>
                <w:i/>
                <w:iCs/>
                <w:sz w:val="18"/>
                <w:szCs w:val="18"/>
              </w:rPr>
            </w:pPr>
            <w:r w:rsidRPr="00441F0B">
              <w:rPr>
                <w:rFonts w:ascii="Arial" w:hAnsi="Arial" w:cs="Arial"/>
                <w:i/>
                <w:iCs/>
                <w:sz w:val="18"/>
                <w:szCs w:val="18"/>
              </w:rPr>
              <w:t>TIP</w:t>
            </w:r>
            <w:r w:rsidR="00F81C8A">
              <w:rPr>
                <w:rFonts w:ascii="Arial" w:hAnsi="Arial" w:cs="Arial"/>
                <w:i/>
                <w:iCs/>
                <w:sz w:val="18"/>
                <w:szCs w:val="18"/>
              </w:rPr>
              <w:t>S</w:t>
            </w:r>
            <w:r w:rsidRPr="00441F0B">
              <w:rPr>
                <w:rFonts w:ascii="Arial" w:hAnsi="Arial" w:cs="Arial"/>
                <w:i/>
                <w:iCs/>
                <w:sz w:val="18"/>
                <w:szCs w:val="18"/>
              </w:rPr>
              <w:t>: Ask your EHR vendor about ePA capability</w:t>
            </w:r>
            <w:r w:rsidR="00F81C8A">
              <w:rPr>
                <w:rFonts w:ascii="Arial" w:hAnsi="Arial" w:cs="Arial"/>
                <w:i/>
                <w:iCs/>
                <w:sz w:val="18"/>
                <w:szCs w:val="18"/>
              </w:rPr>
              <w:t xml:space="preserve">—and learn </w:t>
            </w:r>
            <w:r w:rsidR="008B2BDE">
              <w:rPr>
                <w:rFonts w:ascii="Arial" w:hAnsi="Arial" w:cs="Arial"/>
                <w:i/>
                <w:iCs/>
                <w:sz w:val="18"/>
                <w:szCs w:val="18"/>
              </w:rPr>
              <w:t xml:space="preserve">more </w:t>
            </w:r>
            <w:r w:rsidR="00F81C8A">
              <w:rPr>
                <w:rFonts w:ascii="Arial" w:hAnsi="Arial" w:cs="Arial"/>
                <w:i/>
                <w:iCs/>
                <w:sz w:val="18"/>
                <w:szCs w:val="18"/>
              </w:rPr>
              <w:t>about ePA</w:t>
            </w:r>
            <w:r w:rsidR="008B2BDE">
              <w:rPr>
                <w:rFonts w:ascii="Arial" w:hAnsi="Arial" w:cs="Arial"/>
                <w:i/>
                <w:iCs/>
                <w:sz w:val="18"/>
                <w:szCs w:val="18"/>
              </w:rPr>
              <w:t xml:space="preserve"> through an </w:t>
            </w:r>
            <w:hyperlink r:id="rId10" w:history="1">
              <w:r w:rsidR="008B2BDE" w:rsidRPr="00005960">
                <w:rPr>
                  <w:rStyle w:val="Hyperlink"/>
                  <w:rFonts w:ascii="Arial" w:hAnsi="Arial" w:cs="Arial"/>
                  <w:i/>
                  <w:iCs/>
                  <w:sz w:val="18"/>
                  <w:szCs w:val="18"/>
                </w:rPr>
                <w:t>educational video series</w:t>
              </w:r>
            </w:hyperlink>
            <w:r w:rsidR="008B2BDE">
              <w:rPr>
                <w:rFonts w:ascii="Arial" w:hAnsi="Arial" w:cs="Arial"/>
                <w:i/>
                <w:iCs/>
                <w:sz w:val="18"/>
                <w:szCs w:val="18"/>
              </w:rPr>
              <w:t xml:space="preserve">. </w:t>
            </w:r>
          </w:p>
          <w:p w14:paraId="5D5BBA64" w14:textId="40A8D648" w:rsidR="00865633" w:rsidRPr="00C51D69" w:rsidRDefault="00865633" w:rsidP="00441F0B">
            <w:pPr>
              <w:rPr>
                <w:rFonts w:ascii="Arial" w:hAnsi="Arial" w:cs="Arial"/>
                <w:sz w:val="18"/>
                <w:szCs w:val="18"/>
              </w:rPr>
            </w:pPr>
          </w:p>
        </w:tc>
      </w:tr>
      <w:tr w:rsidR="008778A2" w:rsidRPr="00B16E5D" w14:paraId="73AA6B09" w14:textId="77777777" w:rsidTr="008778A2">
        <w:tc>
          <w:tcPr>
            <w:tcW w:w="960" w:type="pct"/>
          </w:tcPr>
          <w:p w14:paraId="621A01FB" w14:textId="029B3D9E" w:rsidR="00865633" w:rsidRPr="00005960" w:rsidRDefault="00441F0B" w:rsidP="00B16E5D">
            <w:pPr>
              <w:rPr>
                <w:rFonts w:ascii="Arial" w:hAnsi="Arial" w:cs="Arial"/>
                <w:b/>
                <w:bCs/>
                <w:sz w:val="18"/>
                <w:szCs w:val="18"/>
              </w:rPr>
            </w:pPr>
            <w:r w:rsidRPr="00005960">
              <w:rPr>
                <w:rFonts w:ascii="Arial" w:hAnsi="Arial" w:cs="Arial"/>
                <w:b/>
                <w:bCs/>
                <w:sz w:val="18"/>
                <w:szCs w:val="18"/>
              </w:rPr>
              <w:t>Payer portal</w:t>
            </w:r>
          </w:p>
        </w:tc>
        <w:tc>
          <w:tcPr>
            <w:tcW w:w="2021" w:type="pct"/>
          </w:tcPr>
          <w:p w14:paraId="1C1D0AA0" w14:textId="77777777" w:rsidR="00441F0B" w:rsidRPr="00441F0B" w:rsidRDefault="00441F0B" w:rsidP="00441F0B">
            <w:pPr>
              <w:pStyle w:val="ListParagraph"/>
              <w:numPr>
                <w:ilvl w:val="0"/>
                <w:numId w:val="3"/>
              </w:numPr>
              <w:rPr>
                <w:rFonts w:ascii="Arial" w:hAnsi="Arial" w:cs="Arial"/>
                <w:sz w:val="18"/>
                <w:szCs w:val="18"/>
              </w:rPr>
            </w:pPr>
            <w:r w:rsidRPr="00441F0B">
              <w:rPr>
                <w:rFonts w:ascii="Arial" w:hAnsi="Arial" w:cs="Arial"/>
                <w:sz w:val="18"/>
                <w:szCs w:val="18"/>
              </w:rPr>
              <w:t>All required information presented in one place</w:t>
            </w:r>
          </w:p>
          <w:p w14:paraId="6689881E" w14:textId="1FC9A9FF" w:rsidR="00441F0B" w:rsidRPr="00441F0B" w:rsidRDefault="00441F0B" w:rsidP="00441F0B">
            <w:pPr>
              <w:pStyle w:val="ListParagraph"/>
              <w:numPr>
                <w:ilvl w:val="0"/>
                <w:numId w:val="3"/>
              </w:numPr>
              <w:rPr>
                <w:rFonts w:ascii="Arial" w:hAnsi="Arial" w:cs="Arial"/>
                <w:sz w:val="18"/>
                <w:szCs w:val="18"/>
              </w:rPr>
            </w:pPr>
            <w:r w:rsidRPr="00441F0B">
              <w:rPr>
                <w:rFonts w:ascii="Arial" w:hAnsi="Arial" w:cs="Arial"/>
                <w:sz w:val="18"/>
                <w:szCs w:val="18"/>
              </w:rPr>
              <w:t>Often less time consuming</w:t>
            </w:r>
            <w:r>
              <w:rPr>
                <w:rFonts w:ascii="Arial" w:hAnsi="Arial" w:cs="Arial"/>
                <w:sz w:val="18"/>
                <w:szCs w:val="18"/>
              </w:rPr>
              <w:t xml:space="preserve"> </w:t>
            </w:r>
            <w:r w:rsidRPr="00441F0B">
              <w:rPr>
                <w:rFonts w:ascii="Arial" w:hAnsi="Arial" w:cs="Arial"/>
                <w:sz w:val="18"/>
                <w:szCs w:val="18"/>
              </w:rPr>
              <w:t>than manual processes (fax/phone)</w:t>
            </w:r>
          </w:p>
          <w:p w14:paraId="057EB8FF" w14:textId="204C022E" w:rsidR="00865633" w:rsidRPr="00C51D69" w:rsidRDefault="00441F0B" w:rsidP="00441F0B">
            <w:pPr>
              <w:pStyle w:val="ListParagraph"/>
              <w:numPr>
                <w:ilvl w:val="0"/>
                <w:numId w:val="3"/>
              </w:numPr>
              <w:rPr>
                <w:rFonts w:ascii="Arial" w:hAnsi="Arial" w:cs="Arial"/>
                <w:sz w:val="18"/>
                <w:szCs w:val="18"/>
              </w:rPr>
            </w:pPr>
            <w:r w:rsidRPr="00441F0B">
              <w:rPr>
                <w:rFonts w:ascii="Arial" w:hAnsi="Arial" w:cs="Arial"/>
                <w:sz w:val="18"/>
                <w:szCs w:val="18"/>
              </w:rPr>
              <w:t>If drug PA approval is immediate, prescription can be sent to pharmacy and filled without delay</w:t>
            </w:r>
          </w:p>
        </w:tc>
        <w:tc>
          <w:tcPr>
            <w:tcW w:w="2019" w:type="pct"/>
          </w:tcPr>
          <w:p w14:paraId="0F2EE39F" w14:textId="77777777" w:rsidR="00441F0B" w:rsidRDefault="00441F0B" w:rsidP="00441F0B">
            <w:pPr>
              <w:pStyle w:val="ListParagraph"/>
              <w:numPr>
                <w:ilvl w:val="0"/>
                <w:numId w:val="3"/>
              </w:numPr>
              <w:rPr>
                <w:rFonts w:ascii="Arial" w:hAnsi="Arial" w:cs="Arial"/>
                <w:sz w:val="18"/>
                <w:szCs w:val="18"/>
              </w:rPr>
            </w:pPr>
            <w:r w:rsidRPr="00441F0B">
              <w:rPr>
                <w:rFonts w:ascii="Arial" w:hAnsi="Arial" w:cs="Arial"/>
                <w:sz w:val="18"/>
                <w:szCs w:val="18"/>
              </w:rPr>
              <w:t>Outside of EHR workflow</w:t>
            </w:r>
          </w:p>
          <w:p w14:paraId="1D759721" w14:textId="77777777" w:rsidR="00441F0B" w:rsidRDefault="00441F0B" w:rsidP="00441F0B">
            <w:pPr>
              <w:pStyle w:val="ListParagraph"/>
              <w:numPr>
                <w:ilvl w:val="0"/>
                <w:numId w:val="3"/>
              </w:numPr>
              <w:rPr>
                <w:rFonts w:ascii="Arial" w:hAnsi="Arial" w:cs="Arial"/>
                <w:sz w:val="18"/>
                <w:szCs w:val="18"/>
              </w:rPr>
            </w:pPr>
            <w:r w:rsidRPr="00441F0B">
              <w:rPr>
                <w:rFonts w:ascii="Arial" w:hAnsi="Arial" w:cs="Arial"/>
                <w:sz w:val="18"/>
                <w:szCs w:val="18"/>
              </w:rPr>
              <w:t>Requires separate login/password for each health plan websit</w:t>
            </w:r>
            <w:r>
              <w:rPr>
                <w:rFonts w:ascii="Arial" w:hAnsi="Arial" w:cs="Arial"/>
                <w:sz w:val="18"/>
                <w:szCs w:val="18"/>
              </w:rPr>
              <w:t>e</w:t>
            </w:r>
          </w:p>
          <w:p w14:paraId="7F01E727" w14:textId="77777777" w:rsidR="008778A2" w:rsidRDefault="00441F0B" w:rsidP="008778A2">
            <w:pPr>
              <w:pStyle w:val="ListParagraph"/>
              <w:numPr>
                <w:ilvl w:val="0"/>
                <w:numId w:val="3"/>
              </w:numPr>
              <w:spacing w:after="0"/>
              <w:rPr>
                <w:rFonts w:ascii="Arial" w:hAnsi="Arial" w:cs="Arial"/>
                <w:sz w:val="18"/>
                <w:szCs w:val="18"/>
              </w:rPr>
            </w:pPr>
            <w:r w:rsidRPr="00441F0B">
              <w:rPr>
                <w:rFonts w:ascii="Arial" w:hAnsi="Arial" w:cs="Arial"/>
                <w:sz w:val="18"/>
                <w:szCs w:val="18"/>
              </w:rPr>
              <w:t xml:space="preserve"> Information from EHR must be re-typed onto web forms</w:t>
            </w:r>
          </w:p>
          <w:p w14:paraId="1ACADDC4" w14:textId="493B3235" w:rsidR="00865633" w:rsidRPr="008778A2" w:rsidRDefault="00441F0B" w:rsidP="008778A2">
            <w:pPr>
              <w:rPr>
                <w:rFonts w:ascii="Arial" w:hAnsi="Arial" w:cs="Arial"/>
                <w:sz w:val="18"/>
                <w:szCs w:val="18"/>
              </w:rPr>
            </w:pPr>
            <w:r w:rsidRPr="008778A2">
              <w:rPr>
                <w:rFonts w:ascii="Arial" w:hAnsi="Arial" w:cs="Arial"/>
                <w:i/>
                <w:iCs/>
                <w:sz w:val="18"/>
                <w:szCs w:val="18"/>
              </w:rPr>
              <w:t>TIP: Keep a list of health plan portal logins and passwords (store in secured place).</w:t>
            </w:r>
          </w:p>
        </w:tc>
      </w:tr>
      <w:tr w:rsidR="008778A2" w:rsidRPr="00B16E5D" w14:paraId="0CAA0F84" w14:textId="77777777" w:rsidTr="008778A2">
        <w:tc>
          <w:tcPr>
            <w:tcW w:w="960" w:type="pct"/>
          </w:tcPr>
          <w:p w14:paraId="6BD9395E" w14:textId="527651AD" w:rsidR="00865633" w:rsidRPr="00005960" w:rsidRDefault="008778A2" w:rsidP="00B16E5D">
            <w:pPr>
              <w:rPr>
                <w:rFonts w:ascii="Arial" w:hAnsi="Arial" w:cs="Arial"/>
                <w:b/>
                <w:bCs/>
                <w:sz w:val="18"/>
                <w:szCs w:val="18"/>
              </w:rPr>
            </w:pPr>
            <w:r w:rsidRPr="00005960">
              <w:rPr>
                <w:rFonts w:ascii="Arial" w:hAnsi="Arial" w:cs="Arial"/>
                <w:b/>
                <w:bCs/>
                <w:sz w:val="18"/>
                <w:szCs w:val="18"/>
              </w:rPr>
              <w:t>Fax</w:t>
            </w:r>
          </w:p>
        </w:tc>
        <w:tc>
          <w:tcPr>
            <w:tcW w:w="2021" w:type="pct"/>
          </w:tcPr>
          <w:p w14:paraId="2C3735D1" w14:textId="77777777" w:rsidR="008778A2" w:rsidRDefault="008778A2" w:rsidP="008778A2">
            <w:pPr>
              <w:pStyle w:val="ListParagraph"/>
              <w:numPr>
                <w:ilvl w:val="0"/>
                <w:numId w:val="4"/>
              </w:numPr>
              <w:rPr>
                <w:rFonts w:ascii="Arial" w:hAnsi="Arial" w:cs="Arial"/>
                <w:sz w:val="18"/>
                <w:szCs w:val="18"/>
              </w:rPr>
            </w:pPr>
            <w:r w:rsidRPr="008778A2">
              <w:rPr>
                <w:rFonts w:ascii="Arial" w:hAnsi="Arial" w:cs="Arial"/>
                <w:sz w:val="18"/>
                <w:szCs w:val="18"/>
              </w:rPr>
              <w:t>Widely available method of PA submission</w:t>
            </w:r>
          </w:p>
          <w:p w14:paraId="3304344D" w14:textId="6AA08C67" w:rsidR="00865633" w:rsidRPr="008778A2" w:rsidRDefault="008778A2" w:rsidP="008778A2">
            <w:pPr>
              <w:pStyle w:val="ListParagraph"/>
              <w:numPr>
                <w:ilvl w:val="0"/>
                <w:numId w:val="4"/>
              </w:numPr>
              <w:rPr>
                <w:rFonts w:ascii="Arial" w:hAnsi="Arial" w:cs="Arial"/>
                <w:sz w:val="18"/>
                <w:szCs w:val="18"/>
              </w:rPr>
            </w:pPr>
            <w:r w:rsidRPr="008778A2">
              <w:rPr>
                <w:rFonts w:ascii="Arial" w:hAnsi="Arial" w:cs="Arial"/>
                <w:sz w:val="18"/>
                <w:szCs w:val="18"/>
              </w:rPr>
              <w:t>Library of payer forms can be developed</w:t>
            </w:r>
          </w:p>
        </w:tc>
        <w:tc>
          <w:tcPr>
            <w:tcW w:w="2019" w:type="pct"/>
          </w:tcPr>
          <w:p w14:paraId="25A87983" w14:textId="77777777" w:rsidR="008778A2" w:rsidRDefault="008778A2" w:rsidP="008778A2">
            <w:pPr>
              <w:pStyle w:val="ListParagraph"/>
              <w:numPr>
                <w:ilvl w:val="0"/>
                <w:numId w:val="4"/>
              </w:numPr>
              <w:rPr>
                <w:rFonts w:ascii="Arial" w:hAnsi="Arial" w:cs="Arial"/>
                <w:sz w:val="18"/>
                <w:szCs w:val="18"/>
              </w:rPr>
            </w:pPr>
            <w:r w:rsidRPr="008778A2">
              <w:rPr>
                <w:rFonts w:ascii="Arial" w:hAnsi="Arial" w:cs="Arial"/>
                <w:sz w:val="18"/>
                <w:szCs w:val="18"/>
              </w:rPr>
              <w:t>Forms must be filled out by hand</w:t>
            </w:r>
          </w:p>
          <w:p w14:paraId="5026D8E8" w14:textId="77777777" w:rsidR="008778A2" w:rsidRDefault="008778A2" w:rsidP="008778A2">
            <w:pPr>
              <w:pStyle w:val="ListParagraph"/>
              <w:numPr>
                <w:ilvl w:val="0"/>
                <w:numId w:val="4"/>
              </w:numPr>
              <w:rPr>
                <w:rFonts w:ascii="Arial" w:hAnsi="Arial" w:cs="Arial"/>
                <w:sz w:val="18"/>
                <w:szCs w:val="18"/>
              </w:rPr>
            </w:pPr>
            <w:r w:rsidRPr="008778A2">
              <w:rPr>
                <w:rFonts w:ascii="Arial" w:hAnsi="Arial" w:cs="Arial"/>
                <w:sz w:val="18"/>
                <w:szCs w:val="18"/>
              </w:rPr>
              <w:t>Potential confusion in selecting</w:t>
            </w:r>
            <w:r>
              <w:rPr>
                <w:rFonts w:ascii="Arial" w:hAnsi="Arial" w:cs="Arial"/>
                <w:sz w:val="18"/>
                <w:szCs w:val="18"/>
              </w:rPr>
              <w:t xml:space="preserve"> </w:t>
            </w:r>
            <w:r w:rsidRPr="008778A2">
              <w:rPr>
                <w:rFonts w:ascii="Arial" w:hAnsi="Arial" w:cs="Arial"/>
                <w:sz w:val="18"/>
                <w:szCs w:val="18"/>
              </w:rPr>
              <w:t xml:space="preserve">correct/current PA form </w:t>
            </w:r>
          </w:p>
          <w:p w14:paraId="4E657151" w14:textId="77777777" w:rsidR="008778A2" w:rsidRDefault="008778A2" w:rsidP="008778A2">
            <w:pPr>
              <w:pStyle w:val="ListParagraph"/>
              <w:numPr>
                <w:ilvl w:val="0"/>
                <w:numId w:val="4"/>
              </w:numPr>
              <w:rPr>
                <w:rFonts w:ascii="Arial" w:hAnsi="Arial" w:cs="Arial"/>
                <w:sz w:val="18"/>
                <w:szCs w:val="18"/>
              </w:rPr>
            </w:pPr>
            <w:r w:rsidRPr="008778A2">
              <w:rPr>
                <w:rFonts w:ascii="Arial" w:hAnsi="Arial" w:cs="Arial"/>
                <w:sz w:val="18"/>
                <w:szCs w:val="18"/>
              </w:rPr>
              <w:t>Outside of EHR workflo</w:t>
            </w:r>
            <w:r>
              <w:rPr>
                <w:rFonts w:ascii="Arial" w:hAnsi="Arial" w:cs="Arial"/>
                <w:sz w:val="18"/>
                <w:szCs w:val="18"/>
              </w:rPr>
              <w:t>w</w:t>
            </w:r>
          </w:p>
          <w:p w14:paraId="2A69BD5E" w14:textId="77777777" w:rsidR="008778A2" w:rsidRDefault="008778A2" w:rsidP="008778A2">
            <w:pPr>
              <w:pStyle w:val="ListParagraph"/>
              <w:numPr>
                <w:ilvl w:val="0"/>
                <w:numId w:val="4"/>
              </w:numPr>
              <w:rPr>
                <w:rFonts w:ascii="Arial" w:hAnsi="Arial" w:cs="Arial"/>
                <w:sz w:val="18"/>
                <w:szCs w:val="18"/>
              </w:rPr>
            </w:pPr>
            <w:r w:rsidRPr="008778A2">
              <w:rPr>
                <w:rFonts w:ascii="Arial" w:hAnsi="Arial" w:cs="Arial"/>
                <w:sz w:val="18"/>
                <w:szCs w:val="18"/>
              </w:rPr>
              <w:t>Lack of security encryption</w:t>
            </w:r>
          </w:p>
          <w:p w14:paraId="5C806980" w14:textId="45DAFAD4" w:rsidR="008778A2" w:rsidRPr="008778A2" w:rsidRDefault="008778A2" w:rsidP="008778A2">
            <w:pPr>
              <w:pStyle w:val="ListParagraph"/>
              <w:numPr>
                <w:ilvl w:val="0"/>
                <w:numId w:val="4"/>
              </w:numPr>
              <w:spacing w:after="0"/>
              <w:rPr>
                <w:rFonts w:ascii="Arial" w:hAnsi="Arial" w:cs="Arial"/>
                <w:sz w:val="18"/>
                <w:szCs w:val="18"/>
              </w:rPr>
            </w:pPr>
            <w:r w:rsidRPr="008778A2">
              <w:rPr>
                <w:rFonts w:ascii="Arial" w:hAnsi="Arial" w:cs="Arial"/>
                <w:sz w:val="18"/>
                <w:szCs w:val="18"/>
              </w:rPr>
              <w:t>No feedback loop; practice may not be informed when drug PA is approved</w:t>
            </w:r>
          </w:p>
          <w:p w14:paraId="077ACA28" w14:textId="455C47A4" w:rsidR="00865633" w:rsidRPr="008778A2" w:rsidRDefault="008778A2" w:rsidP="008778A2">
            <w:pPr>
              <w:rPr>
                <w:rFonts w:ascii="Arial" w:hAnsi="Arial" w:cs="Arial"/>
                <w:i/>
                <w:iCs/>
                <w:sz w:val="18"/>
                <w:szCs w:val="18"/>
              </w:rPr>
            </w:pPr>
            <w:r w:rsidRPr="008778A2">
              <w:rPr>
                <w:rFonts w:ascii="Arial" w:hAnsi="Arial" w:cs="Arial"/>
                <w:i/>
                <w:iCs/>
                <w:sz w:val="18"/>
                <w:szCs w:val="18"/>
              </w:rPr>
              <w:t>TIP: Keep all documents and records regarding faxed PA documents, including date and time stamps from fax machine</w:t>
            </w:r>
          </w:p>
        </w:tc>
      </w:tr>
      <w:tr w:rsidR="008778A2" w:rsidRPr="00B16E5D" w14:paraId="08CBD824" w14:textId="77777777" w:rsidTr="008778A2">
        <w:tc>
          <w:tcPr>
            <w:tcW w:w="960" w:type="pct"/>
          </w:tcPr>
          <w:p w14:paraId="7720EB00" w14:textId="7B004E77" w:rsidR="00865633" w:rsidRPr="00005960" w:rsidRDefault="008778A2" w:rsidP="00B16E5D">
            <w:pPr>
              <w:rPr>
                <w:rFonts w:ascii="Arial" w:hAnsi="Arial" w:cs="Arial"/>
                <w:b/>
                <w:bCs/>
                <w:sz w:val="18"/>
                <w:szCs w:val="18"/>
              </w:rPr>
            </w:pPr>
            <w:r w:rsidRPr="00005960">
              <w:rPr>
                <w:rFonts w:ascii="Arial" w:hAnsi="Arial" w:cs="Arial"/>
                <w:b/>
                <w:bCs/>
                <w:sz w:val="18"/>
                <w:szCs w:val="18"/>
              </w:rPr>
              <w:t>Telephone</w:t>
            </w:r>
          </w:p>
        </w:tc>
        <w:tc>
          <w:tcPr>
            <w:tcW w:w="2021" w:type="pct"/>
          </w:tcPr>
          <w:p w14:paraId="037FDCE7" w14:textId="77777777" w:rsidR="008778A2" w:rsidRDefault="008778A2" w:rsidP="008778A2">
            <w:pPr>
              <w:pStyle w:val="ListParagraph"/>
              <w:numPr>
                <w:ilvl w:val="0"/>
                <w:numId w:val="5"/>
              </w:numPr>
              <w:rPr>
                <w:rFonts w:ascii="Arial" w:hAnsi="Arial" w:cs="Arial"/>
                <w:sz w:val="18"/>
                <w:szCs w:val="18"/>
              </w:rPr>
            </w:pPr>
            <w:r w:rsidRPr="008778A2">
              <w:rPr>
                <w:rFonts w:ascii="Arial" w:hAnsi="Arial" w:cs="Arial"/>
                <w:sz w:val="18"/>
                <w:szCs w:val="18"/>
              </w:rPr>
              <w:t>In many cases, all information can be reported verbally at one time</w:t>
            </w:r>
          </w:p>
          <w:p w14:paraId="1BF78D2C" w14:textId="77777777" w:rsidR="008778A2" w:rsidRDefault="008778A2" w:rsidP="008778A2">
            <w:pPr>
              <w:pStyle w:val="ListParagraph"/>
              <w:numPr>
                <w:ilvl w:val="0"/>
                <w:numId w:val="5"/>
              </w:numPr>
              <w:rPr>
                <w:rFonts w:ascii="Arial" w:hAnsi="Arial" w:cs="Arial"/>
                <w:sz w:val="18"/>
                <w:szCs w:val="18"/>
              </w:rPr>
            </w:pPr>
            <w:r w:rsidRPr="008778A2">
              <w:rPr>
                <w:rFonts w:ascii="Arial" w:hAnsi="Arial" w:cs="Arial"/>
                <w:sz w:val="18"/>
                <w:szCs w:val="18"/>
              </w:rPr>
              <w:t>Reduce or eliminate delay i</w:t>
            </w:r>
            <w:r>
              <w:rPr>
                <w:rFonts w:ascii="Arial" w:hAnsi="Arial" w:cs="Arial"/>
                <w:sz w:val="18"/>
                <w:szCs w:val="18"/>
              </w:rPr>
              <w:t xml:space="preserve">n </w:t>
            </w:r>
            <w:r w:rsidRPr="008778A2">
              <w:rPr>
                <w:rFonts w:ascii="Arial" w:hAnsi="Arial" w:cs="Arial"/>
                <w:sz w:val="18"/>
                <w:szCs w:val="18"/>
              </w:rPr>
              <w:t>receiving approval</w:t>
            </w:r>
          </w:p>
          <w:p w14:paraId="0520371C" w14:textId="6122DE63" w:rsidR="00865633" w:rsidRPr="008778A2" w:rsidRDefault="008778A2" w:rsidP="008778A2">
            <w:pPr>
              <w:pStyle w:val="ListParagraph"/>
              <w:numPr>
                <w:ilvl w:val="0"/>
                <w:numId w:val="5"/>
              </w:numPr>
              <w:rPr>
                <w:rFonts w:ascii="Arial" w:hAnsi="Arial" w:cs="Arial"/>
                <w:sz w:val="18"/>
                <w:szCs w:val="18"/>
              </w:rPr>
            </w:pPr>
            <w:r w:rsidRPr="008778A2">
              <w:rPr>
                <w:rFonts w:ascii="Arial" w:hAnsi="Arial" w:cs="Arial"/>
                <w:sz w:val="18"/>
                <w:szCs w:val="18"/>
              </w:rPr>
              <w:t>Appeal can be begun</w:t>
            </w:r>
            <w:r>
              <w:rPr>
                <w:rFonts w:ascii="Arial" w:hAnsi="Arial" w:cs="Arial"/>
                <w:sz w:val="18"/>
                <w:szCs w:val="18"/>
              </w:rPr>
              <w:t xml:space="preserve"> </w:t>
            </w:r>
            <w:r w:rsidRPr="008778A2">
              <w:rPr>
                <w:rFonts w:ascii="Arial" w:hAnsi="Arial" w:cs="Arial"/>
                <w:sz w:val="18"/>
                <w:szCs w:val="18"/>
              </w:rPr>
              <w:t>immediately, if needed</w:t>
            </w:r>
          </w:p>
        </w:tc>
        <w:tc>
          <w:tcPr>
            <w:tcW w:w="2019" w:type="pct"/>
          </w:tcPr>
          <w:p w14:paraId="244DBFF1" w14:textId="77777777" w:rsidR="008778A2" w:rsidRDefault="008778A2" w:rsidP="008778A2">
            <w:pPr>
              <w:pStyle w:val="ListParagraph"/>
              <w:numPr>
                <w:ilvl w:val="0"/>
                <w:numId w:val="5"/>
              </w:numPr>
              <w:rPr>
                <w:rFonts w:ascii="Arial" w:hAnsi="Arial" w:cs="Arial"/>
                <w:sz w:val="18"/>
                <w:szCs w:val="18"/>
              </w:rPr>
            </w:pPr>
            <w:r w:rsidRPr="008778A2">
              <w:rPr>
                <w:rFonts w:ascii="Arial" w:hAnsi="Arial" w:cs="Arial"/>
                <w:sz w:val="18"/>
                <w:szCs w:val="18"/>
              </w:rPr>
              <w:t>Long hold times frequent</w:t>
            </w:r>
          </w:p>
          <w:p w14:paraId="37BBE6EE" w14:textId="77777777" w:rsidR="008778A2" w:rsidRDefault="008778A2" w:rsidP="008778A2">
            <w:pPr>
              <w:pStyle w:val="ListParagraph"/>
              <w:numPr>
                <w:ilvl w:val="0"/>
                <w:numId w:val="5"/>
              </w:numPr>
              <w:rPr>
                <w:rFonts w:ascii="Arial" w:hAnsi="Arial" w:cs="Arial"/>
                <w:sz w:val="18"/>
                <w:szCs w:val="18"/>
              </w:rPr>
            </w:pPr>
            <w:r w:rsidRPr="008778A2">
              <w:rPr>
                <w:rFonts w:ascii="Arial" w:hAnsi="Arial" w:cs="Arial"/>
                <w:sz w:val="18"/>
                <w:szCs w:val="18"/>
              </w:rPr>
              <w:t xml:space="preserve"> Interrupts regular EHR workflow</w:t>
            </w:r>
          </w:p>
          <w:p w14:paraId="41FD3876" w14:textId="168B4E4B" w:rsidR="008778A2" w:rsidRDefault="008778A2" w:rsidP="008778A2">
            <w:pPr>
              <w:pStyle w:val="ListParagraph"/>
              <w:numPr>
                <w:ilvl w:val="0"/>
                <w:numId w:val="5"/>
              </w:numPr>
              <w:rPr>
                <w:rFonts w:ascii="Arial" w:hAnsi="Arial" w:cs="Arial"/>
                <w:sz w:val="18"/>
                <w:szCs w:val="18"/>
              </w:rPr>
            </w:pPr>
            <w:r w:rsidRPr="008778A2">
              <w:rPr>
                <w:rFonts w:ascii="Arial" w:hAnsi="Arial" w:cs="Arial"/>
                <w:sz w:val="18"/>
                <w:szCs w:val="18"/>
              </w:rPr>
              <w:t>Transaction is not automatically</w:t>
            </w:r>
            <w:r>
              <w:rPr>
                <w:rFonts w:ascii="Arial" w:hAnsi="Arial" w:cs="Arial"/>
                <w:sz w:val="18"/>
                <w:szCs w:val="18"/>
              </w:rPr>
              <w:t xml:space="preserve"> </w:t>
            </w:r>
            <w:r w:rsidRPr="008778A2">
              <w:rPr>
                <w:rFonts w:ascii="Arial" w:hAnsi="Arial" w:cs="Arial"/>
                <w:sz w:val="18"/>
                <w:szCs w:val="18"/>
              </w:rPr>
              <w:t xml:space="preserve">documented in the </w:t>
            </w:r>
            <w:r w:rsidR="008B2BDE">
              <w:rPr>
                <w:rFonts w:ascii="Arial" w:hAnsi="Arial" w:cs="Arial"/>
                <w:sz w:val="18"/>
                <w:szCs w:val="18"/>
              </w:rPr>
              <w:t>EHR</w:t>
            </w:r>
          </w:p>
          <w:p w14:paraId="231696E6" w14:textId="77777777" w:rsidR="008778A2" w:rsidRDefault="008778A2" w:rsidP="008778A2">
            <w:pPr>
              <w:pStyle w:val="ListParagraph"/>
              <w:numPr>
                <w:ilvl w:val="0"/>
                <w:numId w:val="5"/>
              </w:numPr>
              <w:rPr>
                <w:rFonts w:ascii="Arial" w:hAnsi="Arial" w:cs="Arial"/>
                <w:sz w:val="18"/>
                <w:szCs w:val="18"/>
              </w:rPr>
            </w:pPr>
            <w:r w:rsidRPr="008778A2">
              <w:rPr>
                <w:rFonts w:ascii="Arial" w:hAnsi="Arial" w:cs="Arial"/>
                <w:sz w:val="18"/>
                <w:szCs w:val="18"/>
              </w:rPr>
              <w:t>May be difficult to later “prove”</w:t>
            </w:r>
            <w:r>
              <w:rPr>
                <w:rFonts w:ascii="Arial" w:hAnsi="Arial" w:cs="Arial"/>
                <w:sz w:val="18"/>
                <w:szCs w:val="18"/>
              </w:rPr>
              <w:t xml:space="preserve"> </w:t>
            </w:r>
            <w:r w:rsidRPr="008778A2">
              <w:rPr>
                <w:rFonts w:ascii="Arial" w:hAnsi="Arial" w:cs="Arial"/>
                <w:sz w:val="18"/>
                <w:szCs w:val="18"/>
              </w:rPr>
              <w:t>conversation with plan</w:t>
            </w:r>
          </w:p>
          <w:p w14:paraId="148BF148" w14:textId="77777777" w:rsidR="008778A2" w:rsidRDefault="008778A2" w:rsidP="008778A2">
            <w:pPr>
              <w:pStyle w:val="ListParagraph"/>
              <w:numPr>
                <w:ilvl w:val="0"/>
                <w:numId w:val="5"/>
              </w:numPr>
              <w:rPr>
                <w:rFonts w:ascii="Arial" w:hAnsi="Arial" w:cs="Arial"/>
                <w:sz w:val="18"/>
                <w:szCs w:val="18"/>
              </w:rPr>
            </w:pPr>
            <w:r w:rsidRPr="008778A2">
              <w:rPr>
                <w:rFonts w:ascii="Arial" w:hAnsi="Arial" w:cs="Arial"/>
                <w:sz w:val="18"/>
                <w:szCs w:val="18"/>
              </w:rPr>
              <w:t>May still require supporting</w:t>
            </w:r>
            <w:r>
              <w:rPr>
                <w:rFonts w:ascii="Arial" w:hAnsi="Arial" w:cs="Arial"/>
                <w:sz w:val="18"/>
                <w:szCs w:val="18"/>
              </w:rPr>
              <w:t xml:space="preserve"> </w:t>
            </w:r>
            <w:r w:rsidRPr="008778A2">
              <w:rPr>
                <w:rFonts w:ascii="Arial" w:hAnsi="Arial" w:cs="Arial"/>
                <w:sz w:val="18"/>
                <w:szCs w:val="18"/>
              </w:rPr>
              <w:t>documentation to be faxed</w:t>
            </w:r>
          </w:p>
          <w:p w14:paraId="1291FF71" w14:textId="28C41276" w:rsidR="008778A2" w:rsidRPr="008778A2" w:rsidRDefault="008778A2" w:rsidP="008778A2">
            <w:pPr>
              <w:pStyle w:val="ListParagraph"/>
              <w:numPr>
                <w:ilvl w:val="0"/>
                <w:numId w:val="5"/>
              </w:numPr>
              <w:spacing w:after="0"/>
              <w:rPr>
                <w:rFonts w:ascii="Arial" w:hAnsi="Arial" w:cs="Arial"/>
                <w:sz w:val="18"/>
                <w:szCs w:val="18"/>
              </w:rPr>
            </w:pPr>
            <w:r w:rsidRPr="008778A2">
              <w:rPr>
                <w:rFonts w:ascii="Arial" w:hAnsi="Arial" w:cs="Arial"/>
                <w:sz w:val="18"/>
                <w:szCs w:val="18"/>
              </w:rPr>
              <w:t>Approval must be relayed to the</w:t>
            </w:r>
            <w:r>
              <w:rPr>
                <w:rFonts w:ascii="Arial" w:hAnsi="Arial" w:cs="Arial"/>
                <w:sz w:val="18"/>
                <w:szCs w:val="18"/>
              </w:rPr>
              <w:t xml:space="preserve"> </w:t>
            </w:r>
            <w:r w:rsidRPr="008778A2">
              <w:rPr>
                <w:rFonts w:ascii="Arial" w:hAnsi="Arial" w:cs="Arial"/>
                <w:sz w:val="18"/>
                <w:szCs w:val="18"/>
              </w:rPr>
              <w:t xml:space="preserve">pharmacy </w:t>
            </w:r>
          </w:p>
          <w:p w14:paraId="0601460E" w14:textId="77777777" w:rsidR="008778A2" w:rsidRPr="008778A2" w:rsidRDefault="008778A2" w:rsidP="008778A2">
            <w:pPr>
              <w:rPr>
                <w:rFonts w:ascii="Arial" w:hAnsi="Arial" w:cs="Arial"/>
                <w:i/>
                <w:iCs/>
                <w:sz w:val="18"/>
                <w:szCs w:val="18"/>
              </w:rPr>
            </w:pPr>
            <w:r w:rsidRPr="008778A2">
              <w:rPr>
                <w:rFonts w:ascii="Arial" w:hAnsi="Arial" w:cs="Arial"/>
                <w:i/>
                <w:iCs/>
                <w:sz w:val="18"/>
                <w:szCs w:val="18"/>
              </w:rPr>
              <w:t>TIP: Keep a record of the first and</w:t>
            </w:r>
          </w:p>
          <w:p w14:paraId="79E93CCE" w14:textId="77777777" w:rsidR="008778A2" w:rsidRPr="008778A2" w:rsidRDefault="008778A2" w:rsidP="008778A2">
            <w:pPr>
              <w:rPr>
                <w:rFonts w:ascii="Arial" w:hAnsi="Arial" w:cs="Arial"/>
                <w:i/>
                <w:iCs/>
                <w:sz w:val="18"/>
                <w:szCs w:val="18"/>
              </w:rPr>
            </w:pPr>
            <w:r w:rsidRPr="008778A2">
              <w:rPr>
                <w:rFonts w:ascii="Arial" w:hAnsi="Arial" w:cs="Arial"/>
                <w:i/>
                <w:iCs/>
                <w:sz w:val="18"/>
                <w:szCs w:val="18"/>
              </w:rPr>
              <w:t>last name of the person spoken to,</w:t>
            </w:r>
          </w:p>
          <w:p w14:paraId="44E4638C" w14:textId="03CEB41C" w:rsidR="00865633" w:rsidRPr="00C51D69" w:rsidRDefault="008778A2" w:rsidP="008778A2">
            <w:pPr>
              <w:rPr>
                <w:rFonts w:ascii="Arial" w:hAnsi="Arial" w:cs="Arial"/>
                <w:sz w:val="18"/>
                <w:szCs w:val="18"/>
              </w:rPr>
            </w:pPr>
            <w:r w:rsidRPr="008778A2">
              <w:rPr>
                <w:rFonts w:ascii="Arial" w:hAnsi="Arial" w:cs="Arial"/>
                <w:i/>
                <w:iCs/>
                <w:sz w:val="18"/>
                <w:szCs w:val="18"/>
              </w:rPr>
              <w:t>date, and time in case necessary for appeal.</w:t>
            </w:r>
          </w:p>
        </w:tc>
      </w:tr>
    </w:tbl>
    <w:p w14:paraId="09EB40DC" w14:textId="6ABDFDAF" w:rsidR="008778A2" w:rsidRDefault="00005960" w:rsidP="00005960">
      <w:pPr>
        <w:rPr>
          <w:rFonts w:ascii="Arial" w:hAnsi="Arial" w:cs="Arial"/>
          <w:sz w:val="18"/>
          <w:szCs w:val="18"/>
        </w:rPr>
      </w:pPr>
      <w:r w:rsidRPr="00005960">
        <w:rPr>
          <w:rFonts w:ascii="Arial" w:hAnsi="Arial" w:cs="Arial"/>
          <w:sz w:val="18"/>
          <w:szCs w:val="18"/>
        </w:rPr>
        <w:t>Adapted from American Medical Association. Tips to help physicians reduce the prior</w:t>
      </w:r>
      <w:r>
        <w:rPr>
          <w:rFonts w:ascii="Arial" w:hAnsi="Arial" w:cs="Arial"/>
          <w:sz w:val="18"/>
          <w:szCs w:val="18"/>
        </w:rPr>
        <w:t xml:space="preserve"> </w:t>
      </w:r>
      <w:r w:rsidRPr="00005960">
        <w:rPr>
          <w:rFonts w:ascii="Arial" w:hAnsi="Arial" w:cs="Arial"/>
          <w:sz w:val="18"/>
          <w:szCs w:val="18"/>
        </w:rPr>
        <w:t>authorization burden in their practice. https://www.ama-assn.org/media/7411/download. Published 2015. Accessed September 2019.</w:t>
      </w:r>
    </w:p>
    <w:p w14:paraId="34E905B7" w14:textId="6EECF923" w:rsidR="00005960" w:rsidRDefault="00005960">
      <w:pPr>
        <w:widowControl/>
        <w:autoSpaceDE/>
        <w:autoSpaceDN/>
        <w:adjustRightInd/>
        <w:spacing w:after="160" w:line="259" w:lineRule="auto"/>
        <w:rPr>
          <w:rFonts w:ascii="Arial" w:hAnsi="Arial"/>
          <w:sz w:val="16"/>
          <w:lang w:eastAsia="en-GB"/>
        </w:rPr>
      </w:pPr>
      <w:r>
        <w:rPr>
          <w:rFonts w:ascii="Arial" w:hAnsi="Arial"/>
          <w:sz w:val="16"/>
          <w:lang w:eastAsia="en-GB"/>
        </w:rPr>
        <w:br w:type="page"/>
      </w:r>
    </w:p>
    <w:p w14:paraId="141EAD1A" w14:textId="77777777" w:rsidR="008778A2" w:rsidRDefault="008778A2" w:rsidP="008778A2">
      <w:pPr>
        <w:rPr>
          <w:rFonts w:ascii="Arial" w:hAnsi="Arial"/>
          <w:sz w:val="16"/>
          <w:lang w:eastAsia="en-GB"/>
        </w:rPr>
      </w:pPr>
    </w:p>
    <w:p w14:paraId="7A975045" w14:textId="56E766E0" w:rsidR="00005960" w:rsidRPr="00005960" w:rsidRDefault="00005960" w:rsidP="00005960">
      <w:pPr>
        <w:widowControl/>
        <w:autoSpaceDE/>
        <w:autoSpaceDN/>
        <w:adjustRightInd/>
        <w:spacing w:after="160" w:line="259" w:lineRule="auto"/>
        <w:rPr>
          <w:rFonts w:ascii="Arial" w:hAnsi="Arial" w:cs="Arial"/>
          <w:bCs/>
          <w:sz w:val="28"/>
          <w:szCs w:val="28"/>
        </w:rPr>
      </w:pPr>
      <w:r w:rsidRPr="00005960">
        <w:rPr>
          <w:rFonts w:ascii="Arial" w:hAnsi="Arial" w:cs="Arial"/>
          <w:bCs/>
          <w:sz w:val="28"/>
          <w:szCs w:val="28"/>
        </w:rPr>
        <w:t xml:space="preserve">Additional </w:t>
      </w:r>
      <w:r w:rsidR="009C7D27">
        <w:rPr>
          <w:rFonts w:ascii="Arial" w:hAnsi="Arial" w:cs="Arial"/>
          <w:bCs/>
          <w:sz w:val="28"/>
          <w:szCs w:val="28"/>
        </w:rPr>
        <w:t>R</w:t>
      </w:r>
      <w:r w:rsidRPr="00005960">
        <w:rPr>
          <w:rFonts w:ascii="Arial" w:hAnsi="Arial" w:cs="Arial"/>
          <w:bCs/>
          <w:sz w:val="28"/>
          <w:szCs w:val="28"/>
        </w:rPr>
        <w:t>esources</w:t>
      </w:r>
    </w:p>
    <w:p w14:paraId="19EF55D0" w14:textId="0758C595" w:rsidR="00005960" w:rsidRPr="00005960" w:rsidRDefault="00005960" w:rsidP="00005960">
      <w:pPr>
        <w:widowControl/>
        <w:autoSpaceDE/>
        <w:autoSpaceDN/>
        <w:adjustRightInd/>
        <w:spacing w:after="160" w:line="259" w:lineRule="auto"/>
        <w:rPr>
          <w:rFonts w:ascii="Arial" w:hAnsi="Arial" w:cs="Arial"/>
          <w:bCs/>
          <w:sz w:val="24"/>
        </w:rPr>
      </w:pPr>
      <w:r w:rsidRPr="00005960">
        <w:rPr>
          <w:rFonts w:ascii="Arial" w:hAnsi="Arial" w:cs="Arial"/>
          <w:bCs/>
          <w:sz w:val="24"/>
        </w:rPr>
        <w:t xml:space="preserve">Stakeholder </w:t>
      </w:r>
      <w:r w:rsidR="009C7D27">
        <w:rPr>
          <w:rFonts w:ascii="Arial" w:hAnsi="Arial" w:cs="Arial"/>
          <w:bCs/>
          <w:sz w:val="24"/>
        </w:rPr>
        <w:t>P</w:t>
      </w:r>
      <w:r w:rsidRPr="00005960">
        <w:rPr>
          <w:rFonts w:ascii="Arial" w:hAnsi="Arial" w:cs="Arial"/>
          <w:bCs/>
          <w:sz w:val="24"/>
        </w:rPr>
        <w:t xml:space="preserve">rinciples, </w:t>
      </w:r>
      <w:r w:rsidR="009C7D27">
        <w:rPr>
          <w:rFonts w:ascii="Arial" w:hAnsi="Arial" w:cs="Arial"/>
          <w:bCs/>
          <w:sz w:val="24"/>
        </w:rPr>
        <w:t>C</w:t>
      </w:r>
      <w:r w:rsidRPr="00005960">
        <w:rPr>
          <w:rFonts w:ascii="Arial" w:hAnsi="Arial" w:cs="Arial"/>
          <w:bCs/>
          <w:sz w:val="24"/>
        </w:rPr>
        <w:t xml:space="preserve">onsensus </w:t>
      </w:r>
      <w:r w:rsidR="009C7D27">
        <w:rPr>
          <w:rFonts w:ascii="Arial" w:hAnsi="Arial" w:cs="Arial"/>
          <w:bCs/>
          <w:sz w:val="24"/>
        </w:rPr>
        <w:t>S</w:t>
      </w:r>
      <w:r w:rsidRPr="00005960">
        <w:rPr>
          <w:rFonts w:ascii="Arial" w:hAnsi="Arial" w:cs="Arial"/>
          <w:bCs/>
          <w:sz w:val="24"/>
        </w:rPr>
        <w:t>tatements</w:t>
      </w:r>
      <w:r w:rsidR="009C7D27">
        <w:rPr>
          <w:rFonts w:ascii="Arial" w:hAnsi="Arial" w:cs="Arial"/>
          <w:bCs/>
          <w:sz w:val="24"/>
        </w:rPr>
        <w:t>,</w:t>
      </w:r>
      <w:r w:rsidRPr="00005960">
        <w:rPr>
          <w:rFonts w:ascii="Arial" w:hAnsi="Arial" w:cs="Arial"/>
          <w:bCs/>
          <w:sz w:val="24"/>
        </w:rPr>
        <w:t xml:space="preserve"> and </w:t>
      </w:r>
      <w:r w:rsidR="009C7D27">
        <w:rPr>
          <w:rFonts w:ascii="Arial" w:hAnsi="Arial" w:cs="Arial"/>
          <w:bCs/>
          <w:sz w:val="24"/>
        </w:rPr>
        <w:t>I</w:t>
      </w:r>
      <w:r w:rsidRPr="00005960">
        <w:rPr>
          <w:rFonts w:ascii="Arial" w:hAnsi="Arial" w:cs="Arial"/>
          <w:bCs/>
          <w:sz w:val="24"/>
        </w:rPr>
        <w:t>nitiatives</w:t>
      </w:r>
    </w:p>
    <w:p w14:paraId="0DBBD206" w14:textId="77777777" w:rsidR="00005960" w:rsidRDefault="00005960" w:rsidP="00005960">
      <w:pPr>
        <w:widowControl/>
        <w:autoSpaceDE/>
        <w:autoSpaceDN/>
        <w:adjustRightInd/>
        <w:spacing w:after="160" w:line="259" w:lineRule="auto"/>
        <w:rPr>
          <w:rFonts w:ascii="Arial" w:hAnsi="Arial" w:cs="Arial"/>
          <w:bCs/>
        </w:rPr>
      </w:pPr>
      <w:r w:rsidRPr="008778A2">
        <w:rPr>
          <w:rFonts w:ascii="Arial" w:hAnsi="Arial" w:cs="Arial"/>
          <w:bCs/>
        </w:rPr>
        <w:t xml:space="preserve">Many health care stakeholder groups have recognized the critical need to reduce PA burdens. In early 2017, organizations representing physicians, medical groups, hospitals, pharmacists, and patients released a set of </w:t>
      </w:r>
      <w:hyperlink r:id="rId11" w:history="1">
        <w:r w:rsidRPr="008E6BB8">
          <w:rPr>
            <w:rStyle w:val="Hyperlink"/>
            <w:rFonts w:ascii="Arial" w:hAnsi="Arial" w:cs="Arial"/>
            <w:bCs/>
          </w:rPr>
          <w:t>Prior Authorization and Utilization Management Reform Principles</w:t>
        </w:r>
      </w:hyperlink>
      <w:r w:rsidRPr="008778A2">
        <w:rPr>
          <w:rFonts w:ascii="Arial" w:hAnsi="Arial" w:cs="Arial"/>
          <w:bCs/>
        </w:rPr>
        <w:t xml:space="preserve">, which outlined key ways to improve the PA process. More recently, health care professional and insurer associations issued the </w:t>
      </w:r>
      <w:hyperlink r:id="rId12" w:history="1">
        <w:r w:rsidRPr="008E6BB8">
          <w:rPr>
            <w:rStyle w:val="Hyperlink"/>
            <w:rFonts w:ascii="Arial" w:hAnsi="Arial" w:cs="Arial"/>
            <w:bCs/>
          </w:rPr>
          <w:t>Consensus Statement on Improving the Prior Authorization Process</w:t>
        </w:r>
      </w:hyperlink>
      <w:r w:rsidRPr="008778A2">
        <w:rPr>
          <w:rFonts w:ascii="Arial" w:hAnsi="Arial" w:cs="Arial"/>
          <w:bCs/>
        </w:rPr>
        <w:t xml:space="preserve">. This document reflects an important agreement between providers and health plans on reforms needed to ensure patients’ access to timely care and eliminate administrative waste. Physicians and patients are also joining forces to call for improvements in PA processes through initiatives such as </w:t>
      </w:r>
      <w:hyperlink r:id="rId13" w:history="1">
        <w:proofErr w:type="spellStart"/>
        <w:r w:rsidRPr="008E6BB8">
          <w:rPr>
            <w:rStyle w:val="Hyperlink"/>
            <w:rFonts w:ascii="Arial" w:hAnsi="Arial" w:cs="Arial"/>
            <w:bCs/>
          </w:rPr>
          <w:t>FixPriorAuth</w:t>
        </w:r>
        <w:proofErr w:type="spellEnd"/>
      </w:hyperlink>
      <w:r>
        <w:rPr>
          <w:rFonts w:ascii="Arial" w:hAnsi="Arial" w:cs="Arial"/>
          <w:bCs/>
        </w:rPr>
        <w:t>.</w:t>
      </w:r>
    </w:p>
    <w:p w14:paraId="7974F243" w14:textId="7272EAD5" w:rsidR="00005960" w:rsidRPr="00005960" w:rsidRDefault="00005960" w:rsidP="00005960">
      <w:pPr>
        <w:spacing w:after="160" w:line="259" w:lineRule="auto"/>
        <w:rPr>
          <w:rFonts w:ascii="Arial" w:hAnsi="Arial" w:cs="Arial"/>
          <w:bCs/>
          <w:sz w:val="24"/>
        </w:rPr>
      </w:pPr>
      <w:r w:rsidRPr="00005960">
        <w:rPr>
          <w:rFonts w:ascii="Arial" w:hAnsi="Arial" w:cs="Arial"/>
          <w:bCs/>
          <w:sz w:val="24"/>
        </w:rPr>
        <w:t xml:space="preserve">State </w:t>
      </w:r>
      <w:r w:rsidR="009C7D27">
        <w:rPr>
          <w:rFonts w:ascii="Arial" w:hAnsi="Arial" w:cs="Arial"/>
          <w:bCs/>
          <w:sz w:val="24"/>
        </w:rPr>
        <w:t>L</w:t>
      </w:r>
      <w:r w:rsidRPr="00005960">
        <w:rPr>
          <w:rFonts w:ascii="Arial" w:hAnsi="Arial" w:cs="Arial"/>
          <w:bCs/>
          <w:sz w:val="24"/>
        </w:rPr>
        <w:t>aws</w:t>
      </w:r>
    </w:p>
    <w:p w14:paraId="167EFC7D" w14:textId="77777777" w:rsidR="00005960" w:rsidRDefault="00005960" w:rsidP="00005960">
      <w:pPr>
        <w:spacing w:after="160" w:line="259" w:lineRule="auto"/>
        <w:rPr>
          <w:rFonts w:ascii="Arial" w:hAnsi="Arial" w:cs="Arial"/>
          <w:bCs/>
          <w:szCs w:val="20"/>
        </w:rPr>
      </w:pPr>
      <w:r w:rsidRPr="008E6BB8">
        <w:rPr>
          <w:rFonts w:ascii="Arial" w:hAnsi="Arial" w:cs="Arial"/>
          <w:bCs/>
          <w:szCs w:val="20"/>
        </w:rPr>
        <w:t xml:space="preserve">Many states have enacted legislation that establishes a maximum processing time for PAs. You can review requirements in your state by accessing this </w:t>
      </w:r>
      <w:hyperlink r:id="rId14" w:history="1">
        <w:r w:rsidRPr="008E6BB8">
          <w:rPr>
            <w:rStyle w:val="Hyperlink"/>
            <w:rFonts w:ascii="Arial" w:hAnsi="Arial" w:cs="Arial"/>
            <w:bCs/>
            <w:szCs w:val="20"/>
          </w:rPr>
          <w:t>state PA law chart</w:t>
        </w:r>
      </w:hyperlink>
      <w:r>
        <w:rPr>
          <w:rFonts w:ascii="Arial" w:hAnsi="Arial" w:cs="Arial"/>
          <w:bCs/>
          <w:szCs w:val="20"/>
        </w:rPr>
        <w:t>.</w:t>
      </w:r>
    </w:p>
    <w:p w14:paraId="20A8FC89" w14:textId="6C8093D3" w:rsidR="00005960" w:rsidRPr="00005960" w:rsidRDefault="00005960" w:rsidP="00005960">
      <w:pPr>
        <w:spacing w:after="160" w:line="259" w:lineRule="auto"/>
        <w:rPr>
          <w:rFonts w:ascii="Arial" w:hAnsi="Arial" w:cs="Arial"/>
          <w:bCs/>
          <w:sz w:val="24"/>
        </w:rPr>
      </w:pPr>
      <w:r w:rsidRPr="00005960">
        <w:rPr>
          <w:rFonts w:ascii="Arial" w:hAnsi="Arial" w:cs="Arial"/>
          <w:bCs/>
          <w:sz w:val="24"/>
        </w:rPr>
        <w:t xml:space="preserve">Medicare Part D </w:t>
      </w:r>
      <w:r w:rsidR="009C7D27">
        <w:rPr>
          <w:rFonts w:ascii="Arial" w:hAnsi="Arial" w:cs="Arial"/>
          <w:bCs/>
          <w:sz w:val="24"/>
        </w:rPr>
        <w:t>R</w:t>
      </w:r>
      <w:r w:rsidRPr="00005960">
        <w:rPr>
          <w:rFonts w:ascii="Arial" w:hAnsi="Arial" w:cs="Arial"/>
          <w:bCs/>
          <w:sz w:val="24"/>
        </w:rPr>
        <w:t>equirements</w:t>
      </w:r>
    </w:p>
    <w:p w14:paraId="0DECE54B" w14:textId="77777777" w:rsidR="00005960" w:rsidRDefault="00005960" w:rsidP="00005960">
      <w:pPr>
        <w:widowControl/>
        <w:autoSpaceDE/>
        <w:autoSpaceDN/>
        <w:adjustRightInd/>
        <w:spacing w:after="160" w:line="259" w:lineRule="auto"/>
        <w:rPr>
          <w:rFonts w:ascii="Arial" w:hAnsi="Arial" w:cs="Arial"/>
          <w:bCs/>
        </w:rPr>
      </w:pPr>
      <w:r w:rsidRPr="008E6BB8">
        <w:rPr>
          <w:rFonts w:ascii="Arial" w:hAnsi="Arial" w:cs="Arial"/>
          <w:bCs/>
        </w:rPr>
        <w:t xml:space="preserve">Medicare also places certain requirements on plans that offer prescription drug coverage under the Part D benefit. More information about Part D PA requirements is available in the </w:t>
      </w:r>
      <w:hyperlink r:id="rId15" w:history="1">
        <w:r w:rsidRPr="008E6BB8">
          <w:rPr>
            <w:rStyle w:val="Hyperlink"/>
            <w:rFonts w:ascii="Arial" w:hAnsi="Arial" w:cs="Arial"/>
            <w:bCs/>
          </w:rPr>
          <w:t>Part D Prescription Drug Benefit Manual</w:t>
        </w:r>
      </w:hyperlink>
      <w:r>
        <w:rPr>
          <w:rFonts w:ascii="Arial" w:hAnsi="Arial" w:cs="Arial"/>
          <w:bCs/>
        </w:rPr>
        <w:t xml:space="preserve">. </w:t>
      </w:r>
    </w:p>
    <w:p w14:paraId="63707404" w14:textId="6A8CFD8B" w:rsidR="00B47CDA" w:rsidRPr="008778A2" w:rsidRDefault="00B47CDA">
      <w:pPr>
        <w:rPr>
          <w:rFonts w:ascii="Arial" w:hAnsi="Arial" w:cs="Arial"/>
          <w:sz w:val="18"/>
          <w:szCs w:val="18"/>
        </w:rPr>
      </w:pPr>
      <w:r w:rsidRPr="00B47CDA">
        <w:rPr>
          <w:rFonts w:ascii="Arial" w:hAnsi="Arial"/>
          <w:sz w:val="16"/>
          <w:lang w:eastAsia="en-GB"/>
        </w:rPr>
        <w:t xml:space="preserve">Source: AMA. </w:t>
      </w:r>
      <w:r w:rsidRPr="00B47CDA">
        <w:rPr>
          <w:rFonts w:ascii="Arial" w:hAnsi="Arial"/>
          <w:i/>
          <w:sz w:val="16"/>
          <w:lang w:eastAsia="en-GB"/>
        </w:rPr>
        <w:t xml:space="preserve">Practice transformation series: </w:t>
      </w:r>
      <w:r>
        <w:rPr>
          <w:rFonts w:ascii="Arial" w:hAnsi="Arial"/>
          <w:i/>
          <w:sz w:val="16"/>
          <w:lang w:eastAsia="en-GB"/>
        </w:rPr>
        <w:t>medication management</w:t>
      </w:r>
      <w:r w:rsidRPr="00B47CDA">
        <w:rPr>
          <w:rFonts w:ascii="Arial" w:hAnsi="Arial"/>
          <w:i/>
          <w:sz w:val="16"/>
          <w:lang w:eastAsia="en-GB"/>
        </w:rPr>
        <w:t xml:space="preserve">. </w:t>
      </w:r>
      <w:r w:rsidRPr="00B47CDA">
        <w:rPr>
          <w:rFonts w:ascii="Arial" w:hAnsi="Arial"/>
          <w:sz w:val="16"/>
          <w:lang w:eastAsia="en-GB"/>
        </w:rPr>
        <w:t>201</w:t>
      </w:r>
      <w:r>
        <w:rPr>
          <w:rFonts w:ascii="Arial" w:hAnsi="Arial"/>
          <w:sz w:val="16"/>
          <w:lang w:eastAsia="en-GB"/>
        </w:rPr>
        <w:t>9</w:t>
      </w:r>
      <w:r w:rsidRPr="00B47CDA">
        <w:rPr>
          <w:rFonts w:ascii="Arial" w:hAnsi="Arial"/>
          <w:sz w:val="16"/>
          <w:lang w:eastAsia="en-GB"/>
        </w:rPr>
        <w:t>.</w:t>
      </w:r>
    </w:p>
    <w:sectPr w:rsidR="00B47CDA" w:rsidRPr="008778A2" w:rsidSect="007B5517">
      <w:headerReference w:type="default" r:id="rId16"/>
      <w:footerReference w:type="default" r:id="rId17"/>
      <w:pgSz w:w="12240" w:h="15840"/>
      <w:pgMar w:top="1440" w:right="1296" w:bottom="1440" w:left="1296" w:header="144" w:footer="6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27C81" w14:textId="77777777" w:rsidR="008D44C8" w:rsidRDefault="008D44C8" w:rsidP="004B29FC">
      <w:r>
        <w:separator/>
      </w:r>
    </w:p>
  </w:endnote>
  <w:endnote w:type="continuationSeparator" w:id="0">
    <w:p w14:paraId="06E55454" w14:textId="77777777" w:rsidR="008D44C8" w:rsidRDefault="008D44C8" w:rsidP="004B2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kMukta-Light">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8E4AB" w14:textId="6CD1962D" w:rsidR="00B16E5D" w:rsidRPr="00B47CDA" w:rsidRDefault="007F1813" w:rsidP="00B47CDA">
    <w:pPr>
      <w:pStyle w:val="Footer"/>
      <w:ind w:right="360" w:hanging="142"/>
    </w:pPr>
    <w:r w:rsidRPr="00D33AFE">
      <w:rPr>
        <w:rStyle w:val="bodycopy"/>
        <w:rFonts w:ascii="Arial" w:hAnsi="Arial"/>
        <w:color w:val="6A6972"/>
        <w:sz w:val="14"/>
        <w:szCs w:val="14"/>
      </w:rPr>
      <w:t>Copyright 201</w:t>
    </w:r>
    <w:r>
      <w:rPr>
        <w:rStyle w:val="bodycopy"/>
        <w:rFonts w:ascii="Arial" w:hAnsi="Arial"/>
        <w:color w:val="6A6972"/>
        <w:sz w:val="14"/>
        <w:szCs w:val="14"/>
      </w:rPr>
      <w:t>9</w:t>
    </w:r>
    <w:r w:rsidRPr="00D33AFE">
      <w:rPr>
        <w:rStyle w:val="bodycopy"/>
        <w:rFonts w:ascii="Arial" w:hAnsi="Arial"/>
        <w:color w:val="6A6972"/>
        <w:sz w:val="14"/>
        <w:szCs w:val="14"/>
      </w:rPr>
      <w:t xml:space="preserve"> American Medical Association. All rights reserved.</w:t>
    </w:r>
    <w:r>
      <w:ptab w:relativeTo="margin" w:alignment="center" w:leader="none"/>
    </w:r>
    <w:r>
      <w:ptab w:relativeTo="margin" w:alignment="right" w:leader="none"/>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5FD03" w14:textId="77777777" w:rsidR="008D44C8" w:rsidRDefault="008D44C8" w:rsidP="004B29FC">
      <w:r>
        <w:separator/>
      </w:r>
    </w:p>
  </w:footnote>
  <w:footnote w:type="continuationSeparator" w:id="0">
    <w:p w14:paraId="7A9A844D" w14:textId="77777777" w:rsidR="008D44C8" w:rsidRDefault="008D44C8" w:rsidP="004B2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067B6" w14:textId="03946A6B" w:rsidR="00B16E5D" w:rsidRDefault="00953B96">
    <w:pPr>
      <w:pStyle w:val="Header"/>
    </w:pPr>
    <w:r>
      <w:rPr>
        <w:noProof/>
      </w:rPr>
      <w:drawing>
        <wp:inline distT="0" distB="0" distL="0" distR="0" wp14:anchorId="1640C481" wp14:editId="32FD4BC6">
          <wp:extent cx="7232650" cy="8045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0" cy="8045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52F0"/>
    <w:multiLevelType w:val="hybridMultilevel"/>
    <w:tmpl w:val="775A1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C92EC8"/>
    <w:multiLevelType w:val="hybridMultilevel"/>
    <w:tmpl w:val="E22C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3F17CE"/>
    <w:multiLevelType w:val="hybridMultilevel"/>
    <w:tmpl w:val="33B4C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BE77B1B"/>
    <w:multiLevelType w:val="hybridMultilevel"/>
    <w:tmpl w:val="1E421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118104D"/>
    <w:multiLevelType w:val="hybridMultilevel"/>
    <w:tmpl w:val="F8A69224"/>
    <w:lvl w:ilvl="0" w:tplc="4E1CF11A">
      <w:start w:val="1"/>
      <w:numFmt w:val="bullet"/>
      <w:lvlText w:val=""/>
      <w:lvlJc w:val="left"/>
      <w:pPr>
        <w:tabs>
          <w:tab w:val="num" w:pos="288"/>
        </w:tabs>
        <w:ind w:left="288" w:hanging="288"/>
      </w:pPr>
      <w:rPr>
        <w:rFonts w:ascii="Symbol" w:hAnsi="Symbol" w:hint="default"/>
        <w:color w:val="auto"/>
      </w:rPr>
    </w:lvl>
    <w:lvl w:ilvl="1" w:tplc="04090003">
      <w:start w:val="1"/>
      <w:numFmt w:val="bullet"/>
      <w:lvlText w:val="o"/>
      <w:lvlJc w:val="left"/>
      <w:pPr>
        <w:ind w:left="792" w:hanging="360"/>
      </w:pPr>
      <w:rPr>
        <w:rFonts w:ascii="Courier New" w:hAnsi="Courier New" w:cs="Courier New" w:hint="default"/>
      </w:rPr>
    </w:lvl>
    <w:lvl w:ilvl="2" w:tplc="04090005">
      <w:start w:val="1"/>
      <w:numFmt w:val="bullet"/>
      <w:lvlText w:val=""/>
      <w:lvlJc w:val="left"/>
      <w:pPr>
        <w:ind w:left="1512" w:hanging="360"/>
      </w:pPr>
      <w:rPr>
        <w:rFonts w:ascii="Wingdings" w:hAnsi="Wingdings" w:hint="default"/>
      </w:rPr>
    </w:lvl>
    <w:lvl w:ilvl="3" w:tplc="04090001">
      <w:start w:val="1"/>
      <w:numFmt w:val="bullet"/>
      <w:lvlText w:val=""/>
      <w:lvlJc w:val="left"/>
      <w:pPr>
        <w:ind w:left="2232" w:hanging="360"/>
      </w:pPr>
      <w:rPr>
        <w:rFonts w:ascii="Symbol" w:hAnsi="Symbol" w:hint="default"/>
      </w:rPr>
    </w:lvl>
    <w:lvl w:ilvl="4" w:tplc="04090003" w:tentative="1">
      <w:start w:val="1"/>
      <w:numFmt w:val="bullet"/>
      <w:lvlText w:val="o"/>
      <w:lvlJc w:val="left"/>
      <w:pPr>
        <w:ind w:left="2952" w:hanging="360"/>
      </w:pPr>
      <w:rPr>
        <w:rFonts w:ascii="Courier New" w:hAnsi="Courier New" w:cs="Courier New" w:hint="default"/>
      </w:rPr>
    </w:lvl>
    <w:lvl w:ilvl="5" w:tplc="04090005" w:tentative="1">
      <w:start w:val="1"/>
      <w:numFmt w:val="bullet"/>
      <w:lvlText w:val=""/>
      <w:lvlJc w:val="left"/>
      <w:pPr>
        <w:ind w:left="3672" w:hanging="360"/>
      </w:pPr>
      <w:rPr>
        <w:rFonts w:ascii="Wingdings" w:hAnsi="Wingdings" w:hint="default"/>
      </w:rPr>
    </w:lvl>
    <w:lvl w:ilvl="6" w:tplc="04090001" w:tentative="1">
      <w:start w:val="1"/>
      <w:numFmt w:val="bullet"/>
      <w:lvlText w:val=""/>
      <w:lvlJc w:val="left"/>
      <w:pPr>
        <w:ind w:left="4392" w:hanging="360"/>
      </w:pPr>
      <w:rPr>
        <w:rFonts w:ascii="Symbol" w:hAnsi="Symbol" w:hint="default"/>
      </w:rPr>
    </w:lvl>
    <w:lvl w:ilvl="7" w:tplc="04090003" w:tentative="1">
      <w:start w:val="1"/>
      <w:numFmt w:val="bullet"/>
      <w:lvlText w:val="o"/>
      <w:lvlJc w:val="left"/>
      <w:pPr>
        <w:ind w:left="5112" w:hanging="360"/>
      </w:pPr>
      <w:rPr>
        <w:rFonts w:ascii="Courier New" w:hAnsi="Courier New" w:cs="Courier New" w:hint="default"/>
      </w:rPr>
    </w:lvl>
    <w:lvl w:ilvl="8" w:tplc="04090005" w:tentative="1">
      <w:start w:val="1"/>
      <w:numFmt w:val="bullet"/>
      <w:lvlText w:val=""/>
      <w:lvlJc w:val="left"/>
      <w:pPr>
        <w:ind w:left="5832" w:hanging="360"/>
      </w:pPr>
      <w:rPr>
        <w:rFonts w:ascii="Wingdings" w:hAnsi="Wingdings" w:hint="default"/>
      </w:rPr>
    </w:lvl>
  </w:abstractNum>
  <w:abstractNum w:abstractNumId="5" w15:restartNumberingAfterBreak="0">
    <w:nsid w:val="6B5156AA"/>
    <w:multiLevelType w:val="hybridMultilevel"/>
    <w:tmpl w:val="57BEA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9FC"/>
    <w:rsid w:val="00005960"/>
    <w:rsid w:val="00031481"/>
    <w:rsid w:val="001E3969"/>
    <w:rsid w:val="00202668"/>
    <w:rsid w:val="002642C0"/>
    <w:rsid w:val="002A1868"/>
    <w:rsid w:val="00441F0B"/>
    <w:rsid w:val="00460DD2"/>
    <w:rsid w:val="004B29FC"/>
    <w:rsid w:val="004B2A20"/>
    <w:rsid w:val="004E3773"/>
    <w:rsid w:val="00553791"/>
    <w:rsid w:val="005C6C5C"/>
    <w:rsid w:val="005F498F"/>
    <w:rsid w:val="0062130F"/>
    <w:rsid w:val="00647FB9"/>
    <w:rsid w:val="006615F1"/>
    <w:rsid w:val="00696647"/>
    <w:rsid w:val="006E7DBC"/>
    <w:rsid w:val="00790549"/>
    <w:rsid w:val="00796382"/>
    <w:rsid w:val="007B5517"/>
    <w:rsid w:val="007C746F"/>
    <w:rsid w:val="007F1813"/>
    <w:rsid w:val="00865633"/>
    <w:rsid w:val="008778A2"/>
    <w:rsid w:val="008B2BDE"/>
    <w:rsid w:val="008D44C8"/>
    <w:rsid w:val="008E57E1"/>
    <w:rsid w:val="008E6BB8"/>
    <w:rsid w:val="00902FDB"/>
    <w:rsid w:val="009523BC"/>
    <w:rsid w:val="00953B96"/>
    <w:rsid w:val="009C7D27"/>
    <w:rsid w:val="009E1D29"/>
    <w:rsid w:val="00A12EC0"/>
    <w:rsid w:val="00A4095A"/>
    <w:rsid w:val="00B16E5D"/>
    <w:rsid w:val="00B47CDA"/>
    <w:rsid w:val="00B83D32"/>
    <w:rsid w:val="00BB1939"/>
    <w:rsid w:val="00C05540"/>
    <w:rsid w:val="00C12FB3"/>
    <w:rsid w:val="00C22008"/>
    <w:rsid w:val="00C3466B"/>
    <w:rsid w:val="00C51D69"/>
    <w:rsid w:val="00C773C6"/>
    <w:rsid w:val="00D37D58"/>
    <w:rsid w:val="00D9291B"/>
    <w:rsid w:val="00DA0328"/>
    <w:rsid w:val="00DE49F0"/>
    <w:rsid w:val="00F11F9E"/>
    <w:rsid w:val="00F65C8B"/>
    <w:rsid w:val="00F81C8A"/>
    <w:rsid w:val="00FA2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0168F5"/>
  <w15:chartTrackingRefBased/>
  <w15:docId w15:val="{F06178A9-8D8E-4321-87BC-01677BBB1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29F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B29FC"/>
    <w:pPr>
      <w:widowControl/>
      <w:autoSpaceDE/>
      <w:autoSpaceDN/>
      <w:adjustRightInd/>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4B29FC"/>
    <w:pPr>
      <w:tabs>
        <w:tab w:val="center" w:pos="4680"/>
        <w:tab w:val="right" w:pos="9360"/>
      </w:tabs>
    </w:pPr>
  </w:style>
  <w:style w:type="character" w:customStyle="1" w:styleId="HeaderChar">
    <w:name w:val="Header Char"/>
    <w:basedOn w:val="DefaultParagraphFont"/>
    <w:link w:val="Header"/>
    <w:uiPriority w:val="99"/>
    <w:rsid w:val="004B29FC"/>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4B29FC"/>
    <w:pPr>
      <w:tabs>
        <w:tab w:val="center" w:pos="4680"/>
        <w:tab w:val="right" w:pos="9360"/>
      </w:tabs>
    </w:pPr>
  </w:style>
  <w:style w:type="character" w:customStyle="1" w:styleId="FooterChar">
    <w:name w:val="Footer Char"/>
    <w:basedOn w:val="DefaultParagraphFont"/>
    <w:link w:val="Footer"/>
    <w:uiPriority w:val="99"/>
    <w:rsid w:val="004B29FC"/>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953B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B9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53B96"/>
    <w:rPr>
      <w:sz w:val="16"/>
      <w:szCs w:val="16"/>
    </w:rPr>
  </w:style>
  <w:style w:type="paragraph" w:styleId="CommentText">
    <w:name w:val="annotation text"/>
    <w:basedOn w:val="Normal"/>
    <w:link w:val="CommentTextChar"/>
    <w:uiPriority w:val="99"/>
    <w:semiHidden/>
    <w:unhideWhenUsed/>
    <w:rsid w:val="00953B96"/>
    <w:rPr>
      <w:szCs w:val="20"/>
    </w:rPr>
  </w:style>
  <w:style w:type="character" w:customStyle="1" w:styleId="CommentTextChar">
    <w:name w:val="Comment Text Char"/>
    <w:basedOn w:val="DefaultParagraphFont"/>
    <w:link w:val="CommentText"/>
    <w:uiPriority w:val="99"/>
    <w:semiHidden/>
    <w:rsid w:val="00953B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3B96"/>
    <w:rPr>
      <w:b/>
      <w:bCs/>
    </w:rPr>
  </w:style>
  <w:style w:type="character" w:customStyle="1" w:styleId="CommentSubjectChar">
    <w:name w:val="Comment Subject Char"/>
    <w:basedOn w:val="CommentTextChar"/>
    <w:link w:val="CommentSubject"/>
    <w:uiPriority w:val="99"/>
    <w:semiHidden/>
    <w:rsid w:val="00953B96"/>
    <w:rPr>
      <w:rFonts w:ascii="Times New Roman" w:eastAsia="Times New Roman" w:hAnsi="Times New Roman" w:cs="Times New Roman"/>
      <w:b/>
      <w:bCs/>
      <w:sz w:val="20"/>
      <w:szCs w:val="20"/>
    </w:rPr>
  </w:style>
  <w:style w:type="character" w:customStyle="1" w:styleId="bodycopy">
    <w:name w:val="body copy"/>
    <w:uiPriority w:val="99"/>
    <w:rsid w:val="00B47CDA"/>
    <w:rPr>
      <w:rFonts w:ascii="EkMukta-Light" w:hAnsi="EkMukta-Light" w:cs="EkMukta-Light"/>
      <w:color w:val="585858"/>
      <w:sz w:val="20"/>
      <w:szCs w:val="20"/>
    </w:rPr>
  </w:style>
  <w:style w:type="character" w:styleId="Hyperlink">
    <w:name w:val="Hyperlink"/>
    <w:basedOn w:val="DefaultParagraphFont"/>
    <w:uiPriority w:val="99"/>
    <w:unhideWhenUsed/>
    <w:rsid w:val="008778A2"/>
    <w:rPr>
      <w:color w:val="0563C1" w:themeColor="hyperlink"/>
      <w:u w:val="single"/>
    </w:rPr>
  </w:style>
  <w:style w:type="character" w:styleId="UnresolvedMention">
    <w:name w:val="Unresolved Mention"/>
    <w:basedOn w:val="DefaultParagraphFont"/>
    <w:uiPriority w:val="99"/>
    <w:semiHidden/>
    <w:unhideWhenUsed/>
    <w:rsid w:val="008778A2"/>
    <w:rPr>
      <w:color w:val="605E5C"/>
      <w:shd w:val="clear" w:color="auto" w:fill="E1DFDD"/>
    </w:rPr>
  </w:style>
  <w:style w:type="character" w:styleId="FollowedHyperlink">
    <w:name w:val="FollowedHyperlink"/>
    <w:basedOn w:val="DefaultParagraphFont"/>
    <w:uiPriority w:val="99"/>
    <w:semiHidden/>
    <w:unhideWhenUsed/>
    <w:rsid w:val="00F81C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ixpriorauth.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ma-assn.org/sites/ama-assn.org/files/corp/media-browser/public/arc-public/prior-authorization-consensus-statement.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ma-assn.org/system/files/2019-06/principles-with-signatory-page-for-slsc.pdf" TargetMode="External"/><Relationship Id="rId5" Type="http://schemas.openxmlformats.org/officeDocument/2006/relationships/styles" Target="styles.xml"/><Relationship Id="rId15" Type="http://schemas.openxmlformats.org/officeDocument/2006/relationships/hyperlink" Target="https://www.cms.gov/medicare/prescription-drug-coverage/prescriptiondrugcovcontra/partdmanuals.html" TargetMode="External"/><Relationship Id="rId10" Type="http://schemas.openxmlformats.org/officeDocument/2006/relationships/hyperlink" Target="https://www.ama-assn.org/practice-management/sustainability/prior-authorization-practice-resources?utm_source=vanity&amp;utm_medium=display&amp;utm_campaign=&amp;utm_term=&amp;utm_content=&amp;utm_effor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ma-assn.org/media/22571/downlo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1B4F8BC62EA144BE513E2C67944866" ma:contentTypeVersion="12" ma:contentTypeDescription="Create a new document." ma:contentTypeScope="" ma:versionID="ceac92f9291ae20c96e1ce7a4c091a05">
  <xsd:schema xmlns:xsd="http://www.w3.org/2001/XMLSchema" xmlns:xs="http://www.w3.org/2001/XMLSchema" xmlns:p="http://schemas.microsoft.com/office/2006/metadata/properties" xmlns:ns2="85e68ef0-4b2c-467c-a5fa-377cd7dfef46" xmlns:ns3="1f17d109-c853-4724-a070-605853dbd52a" targetNamespace="http://schemas.microsoft.com/office/2006/metadata/properties" ma:root="true" ma:fieldsID="eedfa7fa5e2c5e0b714abbd57ed2f2da" ns2:_="" ns3:_="">
    <xsd:import namespace="85e68ef0-4b2c-467c-a5fa-377cd7dfef46"/>
    <xsd:import namespace="1f17d109-c853-4724-a070-605853dbd5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68ef0-4b2c-467c-a5fa-377cd7dfe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17d109-c853-4724-a070-605853dbd5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788262-048C-425E-A723-396B944EA5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D6E9F8-1758-4C10-9701-3CB73BC006C3}">
  <ds:schemaRefs>
    <ds:schemaRef ds:uri="http://schemas.microsoft.com/sharepoint/v3/contenttype/forms"/>
  </ds:schemaRefs>
</ds:datastoreItem>
</file>

<file path=customXml/itemProps3.xml><?xml version="1.0" encoding="utf-8"?>
<ds:datastoreItem xmlns:ds="http://schemas.openxmlformats.org/officeDocument/2006/customXml" ds:itemID="{FDB5AB84-BBC9-42E9-8413-ED0A98D40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68ef0-4b2c-467c-a5fa-377cd7dfef46"/>
    <ds:schemaRef ds:uri="1f17d109-c853-4724-a070-605853dbd5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1644</Words>
  <Characters>9372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McComas</dc:creator>
  <cp:keywords/>
  <dc:description/>
  <cp:lastModifiedBy>Kate Peteet</cp:lastModifiedBy>
  <cp:revision>9</cp:revision>
  <dcterms:created xsi:type="dcterms:W3CDTF">2019-10-03T21:53:00Z</dcterms:created>
  <dcterms:modified xsi:type="dcterms:W3CDTF">2019-11-15T23:33:00Z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0x010100361B4F8BC62EA144BE513E2C67944866</vt:lpwstr>
  </property>
</Properties>
</file>