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5C3C" w14:textId="4CA2F653" w:rsidR="00EC1504" w:rsidRPr="00F3562C" w:rsidRDefault="00176A75" w:rsidP="00D94A45">
      <w:pPr>
        <w:spacing w:line="240" w:lineRule="auto"/>
        <w:ind w:left="-142"/>
        <w:rPr>
          <w:rFonts w:eastAsiaTheme="majorEastAsia" w:cstheme="majorBidi"/>
          <w:noProof/>
          <w:sz w:val="36"/>
          <w:szCs w:val="28"/>
          <w:lang w:val="en-US" w:eastAsia="en-US"/>
        </w:rPr>
      </w:pPr>
      <w:bookmarkStart w:id="0" w:name="_MacBuGuideStaticData_10795V"/>
      <w:bookmarkStart w:id="1" w:name="_MacBuGuideStaticData_2219V"/>
      <w:bookmarkStart w:id="2" w:name="_MacBuGuideStaticData_1642V"/>
      <w:r>
        <w:rPr>
          <w:rFonts w:eastAsiaTheme="majorEastAsia" w:cstheme="majorBidi"/>
          <w:bCs/>
          <w:noProof/>
          <w:sz w:val="36"/>
          <w:szCs w:val="28"/>
          <w:lang w:val="en-US" w:eastAsia="en-US"/>
        </w:rPr>
        <w:t>Roomin</w:t>
      </w:r>
      <w:r w:rsidR="0039153B">
        <w:rPr>
          <w:rFonts w:eastAsiaTheme="majorEastAsia" w:cstheme="majorBidi"/>
          <w:bCs/>
          <w:noProof/>
          <w:sz w:val="36"/>
          <w:szCs w:val="28"/>
          <w:lang w:val="en-US" w:eastAsia="en-US"/>
        </w:rPr>
        <w:t>g checklist</w:t>
      </w:r>
    </w:p>
    <w:p w14:paraId="1A9B267E" w14:textId="77777777" w:rsidR="00AB4906" w:rsidRPr="00F3562C" w:rsidRDefault="00AB4906" w:rsidP="00D16DC7"/>
    <w:tbl>
      <w:tblPr>
        <w:tblStyle w:val="TableGrid"/>
        <w:tblW w:w="5161" w:type="pct"/>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left w:w="144" w:type="dxa"/>
          <w:bottom w:w="144" w:type="dxa"/>
          <w:right w:w="144" w:type="dxa"/>
        </w:tblCellMar>
        <w:tblLook w:val="04A0" w:firstRow="1" w:lastRow="0" w:firstColumn="1" w:lastColumn="0" w:noHBand="0" w:noVBand="1"/>
      </w:tblPr>
      <w:tblGrid>
        <w:gridCol w:w="569"/>
        <w:gridCol w:w="8646"/>
      </w:tblGrid>
      <w:tr w:rsidR="00F91F31" w:rsidRPr="00F3562C" w14:paraId="5B5E80F8" w14:textId="77777777" w:rsidTr="004A5B05">
        <w:trPr>
          <w:cnfStyle w:val="100000000000" w:firstRow="1" w:lastRow="0" w:firstColumn="0" w:lastColumn="0" w:oddVBand="0" w:evenVBand="0" w:oddHBand="0" w:evenHBand="0" w:firstRowFirstColumn="0" w:firstRowLastColumn="0" w:lastRowFirstColumn="0" w:lastRowLastColumn="0"/>
          <w:trHeight w:val="27"/>
          <w:jc w:val="left"/>
        </w:trPr>
        <w:tc>
          <w:tcPr>
            <w:tcW w:w="5000" w:type="pct"/>
            <w:gridSpan w:val="2"/>
            <w:shd w:val="clear" w:color="auto" w:fill="000000" w:themeFill="text1"/>
            <w:tcMar>
              <w:top w:w="85" w:type="dxa"/>
              <w:bottom w:w="85" w:type="dxa"/>
            </w:tcMar>
          </w:tcPr>
          <w:p w14:paraId="5D2E7C2C" w14:textId="6D4EE28F" w:rsidR="00F91F31" w:rsidRPr="00CF2738" w:rsidRDefault="0039153B" w:rsidP="00441AF4">
            <w:pPr>
              <w:spacing w:line="240" w:lineRule="auto"/>
              <w:rPr>
                <w:rFonts w:cs="Arial"/>
                <w:b w:val="0"/>
                <w:color w:val="FFFFFF" w:themeColor="background1"/>
                <w:szCs w:val="18"/>
              </w:rPr>
            </w:pPr>
            <w:r w:rsidRPr="00CF2738">
              <w:rPr>
                <w:rFonts w:cs="Arial"/>
                <w:color w:val="FFFFFF" w:themeColor="background1"/>
                <w:szCs w:val="18"/>
                <w:lang w:val="en-US"/>
              </w:rPr>
              <w:t>Prior to the visit</w:t>
            </w:r>
          </w:p>
        </w:tc>
      </w:tr>
      <w:bookmarkEnd w:id="0"/>
      <w:bookmarkEnd w:id="1"/>
      <w:tr w:rsidR="0039153B" w:rsidRPr="00F3562C" w14:paraId="6D4639FF"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0D2F9BE5" w14:textId="77777777" w:rsidR="0039153B" w:rsidRPr="00AC382E" w:rsidRDefault="0039153B" w:rsidP="00D16DC7">
            <w:pPr>
              <w:spacing w:before="0" w:line="240" w:lineRule="auto"/>
              <w:ind w:left="-36"/>
              <w:rPr>
                <w:rFonts w:cs="Arial"/>
                <w:szCs w:val="18"/>
                <w:lang w:val="en-US"/>
              </w:rPr>
            </w:pPr>
          </w:p>
        </w:tc>
        <w:tc>
          <w:tcPr>
            <w:tcW w:w="4691" w:type="pct"/>
            <w:shd w:val="clear" w:color="auto" w:fill="FFFFFF" w:themeFill="background1"/>
            <w:tcMar>
              <w:top w:w="85" w:type="dxa"/>
              <w:bottom w:w="85" w:type="dxa"/>
            </w:tcMar>
          </w:tcPr>
          <w:p w14:paraId="7A37F728"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Review the last clinic note and completed pre-appointment questionnaire.</w:t>
            </w:r>
          </w:p>
          <w:p w14:paraId="30D16CC3" w14:textId="5011B62B"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This will help staff prepare the patient and physician for the visit. </w:t>
            </w:r>
          </w:p>
        </w:tc>
      </w:tr>
      <w:tr w:rsidR="0039153B" w:rsidRPr="00F3562C" w14:paraId="5AE69B58" w14:textId="77777777" w:rsidTr="004A5B05">
        <w:trPr>
          <w:cnfStyle w:val="000000010000" w:firstRow="0" w:lastRow="0" w:firstColumn="0" w:lastColumn="0" w:oddVBand="0" w:evenVBand="0" w:oddHBand="0" w:evenHBand="1" w:firstRowFirstColumn="0" w:firstRowLastColumn="0" w:lastRowFirstColumn="0" w:lastRowLastColumn="0"/>
          <w:trHeight w:val="361"/>
          <w:jc w:val="left"/>
        </w:trPr>
        <w:tc>
          <w:tcPr>
            <w:tcW w:w="309" w:type="pct"/>
            <w:shd w:val="clear" w:color="auto" w:fill="FFFFFF" w:themeFill="background1"/>
            <w:tcMar>
              <w:top w:w="85" w:type="dxa"/>
              <w:bottom w:w="85" w:type="dxa"/>
            </w:tcMar>
          </w:tcPr>
          <w:p w14:paraId="3A2BDE94" w14:textId="77777777" w:rsidR="0039153B" w:rsidRPr="00AC382E" w:rsidRDefault="0039153B" w:rsidP="00D16DC7">
            <w:pPr>
              <w:spacing w:before="0" w:line="240" w:lineRule="auto"/>
              <w:ind w:left="-36"/>
              <w:rPr>
                <w:rFonts w:cs="Arial"/>
                <w:szCs w:val="18"/>
                <w:lang w:val="en-US"/>
              </w:rPr>
            </w:pPr>
          </w:p>
        </w:tc>
        <w:tc>
          <w:tcPr>
            <w:tcW w:w="4691" w:type="pct"/>
            <w:shd w:val="clear" w:color="auto" w:fill="FFFFFF" w:themeFill="background1"/>
            <w:tcMar>
              <w:top w:w="85" w:type="dxa"/>
              <w:bottom w:w="85" w:type="dxa"/>
            </w:tcMar>
          </w:tcPr>
          <w:p w14:paraId="0C2F0706"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Gather test results obtained prior to the visit.</w:t>
            </w:r>
          </w:p>
          <w:p w14:paraId="49D71251" w14:textId="032D16B9"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If the patient had pre-visit laboratory tests completed, prepare the results for the visit. Some clinics print the results to share with the patient. </w:t>
            </w:r>
          </w:p>
        </w:tc>
      </w:tr>
      <w:tr w:rsidR="0039153B" w:rsidRPr="00F3562C" w14:paraId="6E2FC7EA" w14:textId="77777777" w:rsidTr="004A5B05">
        <w:trPr>
          <w:cnfStyle w:val="000000100000" w:firstRow="0" w:lastRow="0" w:firstColumn="0" w:lastColumn="0" w:oddVBand="0" w:evenVBand="0" w:oddHBand="1" w:evenHBand="0" w:firstRowFirstColumn="0" w:firstRowLastColumn="0" w:lastRowFirstColumn="0" w:lastRowLastColumn="0"/>
          <w:trHeight w:val="361"/>
          <w:jc w:val="left"/>
        </w:trPr>
        <w:tc>
          <w:tcPr>
            <w:tcW w:w="309" w:type="pct"/>
            <w:shd w:val="clear" w:color="auto" w:fill="FFFFFF" w:themeFill="background1"/>
            <w:tcMar>
              <w:top w:w="85" w:type="dxa"/>
              <w:bottom w:w="85" w:type="dxa"/>
            </w:tcMar>
          </w:tcPr>
          <w:p w14:paraId="03D62FC4"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2A856D1F"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Compile relevant data specific to the visit.</w:t>
            </w:r>
          </w:p>
          <w:p w14:paraId="4AF32DC5" w14:textId="5BB8042B"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Gather emergency room notes, hospital discharge summaries, consultations, etc. if relevant to the visit. Use a [visit prep checklist] to identify what care gaps can be closed during the upcoming appointment.</w:t>
            </w:r>
          </w:p>
        </w:tc>
      </w:tr>
    </w:tbl>
    <w:p w14:paraId="101F3A59" w14:textId="77777777" w:rsidR="00CF2738" w:rsidRDefault="00CF2738"/>
    <w:tbl>
      <w:tblPr>
        <w:tblStyle w:val="TableGrid"/>
        <w:tblW w:w="5161" w:type="pct"/>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left w:w="144" w:type="dxa"/>
          <w:bottom w:w="144" w:type="dxa"/>
          <w:right w:w="144" w:type="dxa"/>
        </w:tblCellMar>
        <w:tblLook w:val="04A0" w:firstRow="1" w:lastRow="0" w:firstColumn="1" w:lastColumn="0" w:noHBand="0" w:noVBand="1"/>
      </w:tblPr>
      <w:tblGrid>
        <w:gridCol w:w="569"/>
        <w:gridCol w:w="8646"/>
      </w:tblGrid>
      <w:tr w:rsidR="00466CEB" w:rsidRPr="00F3562C" w14:paraId="2385F637" w14:textId="77777777" w:rsidTr="004A5B05">
        <w:trPr>
          <w:cnfStyle w:val="100000000000" w:firstRow="1" w:lastRow="0" w:firstColumn="0" w:lastColumn="0" w:oddVBand="0" w:evenVBand="0" w:oddHBand="0" w:evenHBand="0" w:firstRowFirstColumn="0" w:firstRowLastColumn="0" w:lastRowFirstColumn="0" w:lastRowLastColumn="0"/>
          <w:jc w:val="left"/>
        </w:trPr>
        <w:tc>
          <w:tcPr>
            <w:tcW w:w="5000" w:type="pct"/>
            <w:gridSpan w:val="2"/>
            <w:shd w:val="clear" w:color="auto" w:fill="000000" w:themeFill="text1"/>
            <w:tcMar>
              <w:top w:w="85" w:type="dxa"/>
              <w:bottom w:w="85" w:type="dxa"/>
            </w:tcMar>
          </w:tcPr>
          <w:p w14:paraId="7D4D8F78" w14:textId="2B66A460" w:rsidR="00466CEB" w:rsidRPr="00CF2738" w:rsidRDefault="0039153B" w:rsidP="003D4F7A">
            <w:pPr>
              <w:spacing w:line="240" w:lineRule="auto"/>
              <w:rPr>
                <w:rFonts w:cs="Arial"/>
                <w:color w:val="FFFFFF" w:themeColor="background1"/>
                <w:szCs w:val="18"/>
              </w:rPr>
            </w:pPr>
            <w:r w:rsidRPr="00CF2738">
              <w:rPr>
                <w:rFonts w:cs="Arial"/>
                <w:color w:val="FFFFFF" w:themeColor="background1"/>
                <w:szCs w:val="18"/>
                <w:lang w:val="en-US"/>
              </w:rPr>
              <w:t>During rooming</w:t>
            </w:r>
          </w:p>
        </w:tc>
      </w:tr>
      <w:tr w:rsidR="0039153B" w:rsidRPr="00F3562C" w14:paraId="366AB3F5"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22931637"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2660F74E"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Greet the patient in the waiting room.</w:t>
            </w:r>
          </w:p>
          <w:p w14:paraId="7FC7FE10" w14:textId="70FC3A62"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Introduce yourself by providing your name and role (e.g., “Hello Mr. Smith, </w:t>
            </w:r>
            <w:r w:rsidRPr="00AC382E">
              <w:rPr>
                <w:rFonts w:cs="Arial"/>
                <w:szCs w:val="18"/>
              </w:rPr>
              <w:t xml:space="preserve">I’m Ron, the medical assistant working with </w:t>
            </w:r>
            <w:proofErr w:type="spellStart"/>
            <w:r w:rsidRPr="00AC382E">
              <w:rPr>
                <w:rFonts w:cs="Arial"/>
                <w:szCs w:val="18"/>
              </w:rPr>
              <w:t>Dr.</w:t>
            </w:r>
            <w:proofErr w:type="spellEnd"/>
            <w:r w:rsidRPr="00AC382E">
              <w:rPr>
                <w:rFonts w:cs="Arial"/>
                <w:szCs w:val="18"/>
              </w:rPr>
              <w:t xml:space="preserve"> Rodgers. I’ll be helping you during your appointment”).</w:t>
            </w:r>
          </w:p>
        </w:tc>
      </w:tr>
      <w:tr w:rsidR="0039153B" w:rsidRPr="00F3562C" w14:paraId="0420B050" w14:textId="77777777" w:rsidTr="004A5B05">
        <w:trPr>
          <w:cnfStyle w:val="000000010000" w:firstRow="0" w:lastRow="0" w:firstColumn="0" w:lastColumn="0" w:oddVBand="0" w:evenVBand="0" w:oddHBand="0" w:evenHBand="1" w:firstRowFirstColumn="0" w:firstRowLastColumn="0" w:lastRowFirstColumn="0" w:lastRowLastColumn="0"/>
          <w:jc w:val="left"/>
        </w:trPr>
        <w:tc>
          <w:tcPr>
            <w:tcW w:w="309" w:type="pct"/>
            <w:shd w:val="clear" w:color="auto" w:fill="FFFFFF" w:themeFill="background1"/>
            <w:tcMar>
              <w:top w:w="85" w:type="dxa"/>
              <w:bottom w:w="85" w:type="dxa"/>
            </w:tcMar>
          </w:tcPr>
          <w:p w14:paraId="7FD1570F"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52C4C60D"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Establish the patient’s agenda and priorities.</w:t>
            </w:r>
          </w:p>
          <w:p w14:paraId="1D05D748" w14:textId="61EECA12"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Ask the patient, “What is the main goal of your visit?” or “I see that you are here for a follow-up on your arthritis and diabetes. Is there anything else you would like to cover today?” If there are multiple issues, help the patient identify their top priorities.</w:t>
            </w:r>
          </w:p>
        </w:tc>
      </w:tr>
      <w:tr w:rsidR="0039153B" w:rsidRPr="00F3562C" w14:paraId="4C3D3B4F"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59C7C6E9"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14F9A76C"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Reconcile medications.</w:t>
            </w:r>
          </w:p>
          <w:p w14:paraId="6026D16D" w14:textId="48988B76"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If a new patient is uncertain about their current medications or doses, contact the patient’s pharmacy. If the patient was recently discharged from the hospital, obtain the discharge medication list. </w:t>
            </w:r>
          </w:p>
        </w:tc>
      </w:tr>
      <w:tr w:rsidR="0039153B" w:rsidRPr="00F3562C" w14:paraId="1B853626" w14:textId="77777777" w:rsidTr="004A5B05">
        <w:trPr>
          <w:cnfStyle w:val="000000010000" w:firstRow="0" w:lastRow="0" w:firstColumn="0" w:lastColumn="0" w:oddVBand="0" w:evenVBand="0" w:oddHBand="0" w:evenHBand="1" w:firstRowFirstColumn="0" w:firstRowLastColumn="0" w:lastRowFirstColumn="0" w:lastRowLastColumn="0"/>
          <w:jc w:val="left"/>
        </w:trPr>
        <w:tc>
          <w:tcPr>
            <w:tcW w:w="309" w:type="pct"/>
            <w:shd w:val="clear" w:color="auto" w:fill="FFFFFF" w:themeFill="background1"/>
            <w:tcMar>
              <w:top w:w="85" w:type="dxa"/>
              <w:bottom w:w="85" w:type="dxa"/>
            </w:tcMar>
          </w:tcPr>
          <w:p w14:paraId="10B75D55"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03598537"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Review any allergies.</w:t>
            </w:r>
          </w:p>
          <w:p w14:paraId="65843229" w14:textId="1C5834F9"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Document any new allergies and the nature of the patient’s reaction.</w:t>
            </w:r>
          </w:p>
        </w:tc>
      </w:tr>
      <w:tr w:rsidR="0039153B" w:rsidRPr="00F3562C" w14:paraId="03877034"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141987D8"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44DF68FF" w14:textId="77777777" w:rsidR="0039153B" w:rsidRPr="00AC382E" w:rsidRDefault="0039153B" w:rsidP="0039153B">
            <w:pPr>
              <w:tabs>
                <w:tab w:val="left" w:pos="4475"/>
              </w:tabs>
              <w:spacing w:before="0" w:line="240" w:lineRule="auto"/>
              <w:ind w:left="-36"/>
              <w:rPr>
                <w:rFonts w:cs="Arial"/>
                <w:szCs w:val="18"/>
                <w:lang w:val="en-US"/>
              </w:rPr>
            </w:pPr>
            <w:r w:rsidRPr="00AC382E">
              <w:rPr>
                <w:rFonts w:cs="Arial"/>
                <w:b/>
                <w:szCs w:val="18"/>
                <w:lang w:val="en-US"/>
              </w:rPr>
              <w:t>Update health maintenance screenings and immunizations.</w:t>
            </w:r>
          </w:p>
          <w:p w14:paraId="327D147B" w14:textId="49CBD81A" w:rsidR="0039153B" w:rsidRPr="00AC382E" w:rsidRDefault="0039153B" w:rsidP="0039153B">
            <w:pPr>
              <w:tabs>
                <w:tab w:val="left" w:pos="4475"/>
              </w:tabs>
              <w:spacing w:before="0" w:line="240" w:lineRule="auto"/>
              <w:ind w:left="-36"/>
              <w:rPr>
                <w:rFonts w:cs="Arial"/>
                <w:szCs w:val="18"/>
                <w:lang w:val="en-US"/>
              </w:rPr>
            </w:pPr>
            <w:r w:rsidRPr="00AC382E">
              <w:rPr>
                <w:rFonts w:cs="Arial"/>
                <w:szCs w:val="18"/>
                <w:lang w:val="en-US"/>
              </w:rPr>
              <w:t>Using standing orders, administer immunizations and schedule screenings, e.g., cancer and osteoporosis.</w:t>
            </w:r>
          </w:p>
        </w:tc>
      </w:tr>
      <w:tr w:rsidR="0039153B" w:rsidRPr="00F3562C" w14:paraId="3D671451" w14:textId="77777777" w:rsidTr="004A5B05">
        <w:trPr>
          <w:cnfStyle w:val="000000010000" w:firstRow="0" w:lastRow="0" w:firstColumn="0" w:lastColumn="0" w:oddVBand="0" w:evenVBand="0" w:oddHBand="0" w:evenHBand="1" w:firstRowFirstColumn="0" w:firstRowLastColumn="0" w:lastRowFirstColumn="0" w:lastRowLastColumn="0"/>
          <w:jc w:val="left"/>
        </w:trPr>
        <w:tc>
          <w:tcPr>
            <w:tcW w:w="309" w:type="pct"/>
            <w:shd w:val="clear" w:color="auto" w:fill="FFFFFF" w:themeFill="background1"/>
            <w:tcMar>
              <w:top w:w="85" w:type="dxa"/>
              <w:bottom w:w="85" w:type="dxa"/>
            </w:tcMar>
          </w:tcPr>
          <w:p w14:paraId="095F3DA6"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368714CC"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Screen for conditions or evaluate status of chronic conditions.</w:t>
            </w:r>
          </w:p>
          <w:p w14:paraId="25CCD07D" w14:textId="7735A010"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Use standardized questions as directed by clinic protocol to support the visit. This might include screening for depression, substance abuse and control of asthma and/or diabetes. For appropriate patients over 65, this might include uploading a patient’s responses to the annual wellness visit questionnaire, which can be distributed to the patient prior to the appointment. </w:t>
            </w:r>
          </w:p>
        </w:tc>
      </w:tr>
      <w:tr w:rsidR="0039153B" w:rsidRPr="00F3562C" w14:paraId="1C6D6067"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68AC2806"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419C1FD0" w14:textId="77777777" w:rsidR="0039153B" w:rsidRPr="00AC382E" w:rsidRDefault="0039153B" w:rsidP="0039153B">
            <w:pPr>
              <w:tabs>
                <w:tab w:val="left" w:pos="4475"/>
              </w:tabs>
              <w:spacing w:before="0" w:line="240" w:lineRule="auto"/>
              <w:ind w:left="-43"/>
              <w:rPr>
                <w:rFonts w:cs="Arial"/>
                <w:b/>
                <w:szCs w:val="18"/>
                <w:lang w:val="en-US"/>
              </w:rPr>
            </w:pPr>
            <w:r w:rsidRPr="00AC382E">
              <w:rPr>
                <w:rFonts w:cs="Arial"/>
                <w:b/>
                <w:szCs w:val="18"/>
                <w:lang w:val="en-US"/>
              </w:rPr>
              <w:t>Provide information about advance directives.</w:t>
            </w:r>
          </w:p>
          <w:p w14:paraId="2F88568E" w14:textId="1D7D4F39" w:rsidR="0039153B" w:rsidRPr="00AC382E" w:rsidRDefault="0039153B" w:rsidP="0039153B">
            <w:pPr>
              <w:tabs>
                <w:tab w:val="left" w:pos="4475"/>
              </w:tabs>
              <w:spacing w:before="0" w:line="240" w:lineRule="auto"/>
              <w:ind w:left="-43"/>
              <w:rPr>
                <w:rFonts w:cs="Arial"/>
                <w:b/>
                <w:szCs w:val="18"/>
                <w:lang w:val="en-US"/>
              </w:rPr>
            </w:pPr>
            <w:r w:rsidRPr="00AC382E">
              <w:rPr>
                <w:rFonts w:cs="Arial"/>
                <w:szCs w:val="18"/>
                <w:lang w:val="en-US"/>
              </w:rPr>
              <w:t xml:space="preserve">Provide information about advance directives to appropriate patients as directed by clinic protocol. Alert the physician if the patient has additional questions. </w:t>
            </w:r>
          </w:p>
        </w:tc>
      </w:tr>
      <w:tr w:rsidR="0039153B" w:rsidRPr="00F3562C" w14:paraId="36F8BEB3" w14:textId="77777777" w:rsidTr="004A5B05">
        <w:trPr>
          <w:cnfStyle w:val="000000010000" w:firstRow="0" w:lastRow="0" w:firstColumn="0" w:lastColumn="0" w:oddVBand="0" w:evenVBand="0" w:oddHBand="0" w:evenHBand="1" w:firstRowFirstColumn="0" w:firstRowLastColumn="0" w:lastRowFirstColumn="0" w:lastRowLastColumn="0"/>
          <w:jc w:val="left"/>
        </w:trPr>
        <w:tc>
          <w:tcPr>
            <w:tcW w:w="309" w:type="pct"/>
            <w:shd w:val="clear" w:color="auto" w:fill="FFFFFF" w:themeFill="background1"/>
            <w:tcMar>
              <w:top w:w="85" w:type="dxa"/>
              <w:bottom w:w="85" w:type="dxa"/>
            </w:tcMar>
          </w:tcPr>
          <w:p w14:paraId="4494535D"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06C1EDFC" w14:textId="77777777" w:rsidR="0039153B" w:rsidRPr="00AC382E" w:rsidRDefault="0039153B" w:rsidP="0039153B">
            <w:pPr>
              <w:tabs>
                <w:tab w:val="left" w:pos="4475"/>
              </w:tabs>
              <w:spacing w:before="0" w:line="240" w:lineRule="auto"/>
              <w:ind w:left="-43"/>
              <w:rPr>
                <w:rFonts w:cs="Arial"/>
                <w:b/>
                <w:szCs w:val="18"/>
                <w:lang w:val="en-US"/>
              </w:rPr>
            </w:pPr>
            <w:r w:rsidRPr="00AC382E">
              <w:rPr>
                <w:rFonts w:cs="Arial"/>
                <w:b/>
                <w:szCs w:val="18"/>
                <w:lang w:val="en-US"/>
              </w:rPr>
              <w:t>Provide self-management support.</w:t>
            </w:r>
          </w:p>
          <w:p w14:paraId="094F017D" w14:textId="58D3A30E" w:rsidR="0039153B" w:rsidRPr="00AC382E" w:rsidRDefault="0039153B" w:rsidP="0039153B">
            <w:pPr>
              <w:tabs>
                <w:tab w:val="left" w:pos="4475"/>
              </w:tabs>
              <w:spacing w:before="0" w:line="240" w:lineRule="auto"/>
              <w:ind w:left="-43"/>
              <w:rPr>
                <w:rFonts w:cs="Arial"/>
                <w:b/>
                <w:szCs w:val="18"/>
                <w:lang w:val="en-US"/>
              </w:rPr>
            </w:pPr>
            <w:r w:rsidRPr="00AC382E">
              <w:rPr>
                <w:rFonts w:cs="Arial"/>
                <w:szCs w:val="18"/>
                <w:lang w:val="en-US"/>
              </w:rPr>
              <w:t>Use an action plan or similar tool for patients who need self-management support, such as tobacco cessation, weight loss and/or diabetes care.</w:t>
            </w:r>
          </w:p>
        </w:tc>
      </w:tr>
      <w:tr w:rsidR="0039153B" w:rsidRPr="00F3562C" w14:paraId="56ADD483"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33F46B6C"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516BC2DB"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Perform symptom-driven testing.</w:t>
            </w:r>
          </w:p>
          <w:p w14:paraId="42C9E6F3" w14:textId="2E1F3E34"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Use standing orders and assess patient symptoms to determine whether you need to administer a pulmonary function test, exercise oximetry, </w:t>
            </w:r>
            <w:r w:rsidRPr="00AC382E">
              <w:rPr>
                <w:rStyle w:val="st"/>
                <w:rFonts w:cs="Arial"/>
                <w:szCs w:val="18"/>
                <w:lang w:val="en-US"/>
              </w:rPr>
              <w:t>electrocardiogram</w:t>
            </w:r>
            <w:r w:rsidRPr="00AC382E">
              <w:rPr>
                <w:rFonts w:cs="Arial"/>
                <w:szCs w:val="18"/>
                <w:lang w:val="en-US"/>
              </w:rPr>
              <w:t xml:space="preserve"> (ECG), strep screen, urine dip stick, pregnancy test, etc. to the patient.</w:t>
            </w:r>
          </w:p>
        </w:tc>
      </w:tr>
      <w:tr w:rsidR="0039153B" w:rsidRPr="00F3562C" w14:paraId="3DC1DFC9" w14:textId="77777777" w:rsidTr="004A5B05">
        <w:trPr>
          <w:cnfStyle w:val="000000010000" w:firstRow="0" w:lastRow="0" w:firstColumn="0" w:lastColumn="0" w:oddVBand="0" w:evenVBand="0" w:oddHBand="0" w:evenHBand="1" w:firstRowFirstColumn="0" w:firstRowLastColumn="0" w:lastRowFirstColumn="0" w:lastRowLastColumn="0"/>
          <w:jc w:val="left"/>
        </w:trPr>
        <w:tc>
          <w:tcPr>
            <w:tcW w:w="309" w:type="pct"/>
            <w:shd w:val="clear" w:color="auto" w:fill="FFFFFF" w:themeFill="background1"/>
            <w:tcMar>
              <w:top w:w="85" w:type="dxa"/>
              <w:bottom w:w="85" w:type="dxa"/>
            </w:tcMar>
          </w:tcPr>
          <w:p w14:paraId="53FDCCAC"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611EA31E"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Prepare patients for the exam and medical procedures.</w:t>
            </w:r>
          </w:p>
          <w:p w14:paraId="4AA1D6FF" w14:textId="6F64943B"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Provide a gown and advise patients to undress as appropriate. Set up the exam room and prepare the patient for procedures such as skin biopsy, cryosurgery, etc.</w:t>
            </w:r>
          </w:p>
        </w:tc>
      </w:tr>
      <w:tr w:rsidR="0039153B" w:rsidRPr="00F3562C" w14:paraId="1AF5ED19"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43A86B58" w14:textId="77777777" w:rsidR="0039153B" w:rsidRPr="00AC382E" w:rsidRDefault="0039153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4DC4D007"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Introduce new patients to the practice.</w:t>
            </w:r>
          </w:p>
          <w:p w14:paraId="2F2AE091" w14:textId="126D799B" w:rsidR="0039153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Some practices have created a “Welcome to Our Practice” pamphlet or folder to introduce new patients to physicians, staff and processes in the practice. </w:t>
            </w:r>
          </w:p>
        </w:tc>
      </w:tr>
    </w:tbl>
    <w:p w14:paraId="443171D9" w14:textId="77777777" w:rsidR="00CF2738" w:rsidRDefault="00CF2738"/>
    <w:tbl>
      <w:tblPr>
        <w:tblStyle w:val="TableGrid"/>
        <w:tblW w:w="5161" w:type="pct"/>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left w:w="144" w:type="dxa"/>
          <w:bottom w:w="144" w:type="dxa"/>
          <w:right w:w="144" w:type="dxa"/>
        </w:tblCellMar>
        <w:tblLook w:val="04A0" w:firstRow="1" w:lastRow="0" w:firstColumn="1" w:lastColumn="0" w:noHBand="0" w:noVBand="1"/>
      </w:tblPr>
      <w:tblGrid>
        <w:gridCol w:w="569"/>
        <w:gridCol w:w="8646"/>
      </w:tblGrid>
      <w:tr w:rsidR="00466CEB" w:rsidRPr="00F3562C" w14:paraId="079D786F" w14:textId="77777777" w:rsidTr="004A5B05">
        <w:trPr>
          <w:cnfStyle w:val="100000000000" w:firstRow="1" w:lastRow="0" w:firstColumn="0" w:lastColumn="0" w:oddVBand="0" w:evenVBand="0" w:oddHBand="0" w:evenHBand="0" w:firstRowFirstColumn="0" w:firstRowLastColumn="0" w:lastRowFirstColumn="0" w:lastRowLastColumn="0"/>
          <w:jc w:val="left"/>
        </w:trPr>
        <w:tc>
          <w:tcPr>
            <w:tcW w:w="5000" w:type="pct"/>
            <w:gridSpan w:val="2"/>
            <w:shd w:val="clear" w:color="auto" w:fill="000000" w:themeFill="text1"/>
            <w:tcMar>
              <w:top w:w="85" w:type="dxa"/>
              <w:bottom w:w="85" w:type="dxa"/>
            </w:tcMar>
          </w:tcPr>
          <w:p w14:paraId="1B182057" w14:textId="5B9DB2EE" w:rsidR="00466CEB" w:rsidRPr="00CF2738" w:rsidRDefault="0039153B" w:rsidP="003D4F7A">
            <w:pPr>
              <w:spacing w:line="240" w:lineRule="auto"/>
              <w:rPr>
                <w:rFonts w:cs="Arial"/>
                <w:color w:val="FFFFFF" w:themeColor="background1"/>
                <w:szCs w:val="18"/>
              </w:rPr>
            </w:pPr>
            <w:r w:rsidRPr="00CF2738">
              <w:rPr>
                <w:rFonts w:cs="Arial"/>
                <w:color w:val="FFFFFF" w:themeColor="background1"/>
                <w:szCs w:val="18"/>
                <w:lang w:val="en-US"/>
              </w:rPr>
              <w:t>Handoff</w:t>
            </w:r>
          </w:p>
        </w:tc>
      </w:tr>
      <w:tr w:rsidR="00466CEB" w:rsidRPr="00F3562C" w14:paraId="4D79F24C" w14:textId="77777777" w:rsidTr="004A5B05">
        <w:trPr>
          <w:cnfStyle w:val="000000100000" w:firstRow="0" w:lastRow="0" w:firstColumn="0" w:lastColumn="0" w:oddVBand="0" w:evenVBand="0" w:oddHBand="1" w:evenHBand="0" w:firstRowFirstColumn="0" w:firstRowLastColumn="0" w:lastRowFirstColumn="0" w:lastRowLastColumn="0"/>
          <w:jc w:val="left"/>
        </w:trPr>
        <w:tc>
          <w:tcPr>
            <w:tcW w:w="309" w:type="pct"/>
            <w:shd w:val="clear" w:color="auto" w:fill="FFFFFF" w:themeFill="background1"/>
            <w:tcMar>
              <w:top w:w="85" w:type="dxa"/>
              <w:bottom w:w="85" w:type="dxa"/>
            </w:tcMar>
          </w:tcPr>
          <w:p w14:paraId="5515CF05" w14:textId="77777777" w:rsidR="00466CEB" w:rsidRPr="00AC382E" w:rsidRDefault="00466CEB" w:rsidP="00D16DC7">
            <w:pPr>
              <w:spacing w:line="240" w:lineRule="auto"/>
              <w:ind w:left="-36"/>
              <w:rPr>
                <w:rFonts w:cs="Arial"/>
                <w:szCs w:val="18"/>
                <w:lang w:val="en-US"/>
              </w:rPr>
            </w:pPr>
          </w:p>
        </w:tc>
        <w:tc>
          <w:tcPr>
            <w:tcW w:w="4691" w:type="pct"/>
            <w:shd w:val="clear" w:color="auto" w:fill="FFFFFF" w:themeFill="background1"/>
            <w:tcMar>
              <w:top w:w="85" w:type="dxa"/>
              <w:bottom w:w="85" w:type="dxa"/>
            </w:tcMar>
          </w:tcPr>
          <w:p w14:paraId="4F91FB93" w14:textId="77777777" w:rsidR="0039153B" w:rsidRPr="00AC382E" w:rsidRDefault="0039153B" w:rsidP="0039153B">
            <w:pPr>
              <w:tabs>
                <w:tab w:val="left" w:pos="4475"/>
              </w:tabs>
              <w:spacing w:before="0" w:line="240" w:lineRule="auto"/>
              <w:ind w:left="-36"/>
              <w:rPr>
                <w:rFonts w:cs="Arial"/>
                <w:b/>
                <w:szCs w:val="18"/>
                <w:lang w:val="en-US"/>
              </w:rPr>
            </w:pPr>
            <w:r w:rsidRPr="00AC382E">
              <w:rPr>
                <w:rFonts w:cs="Arial"/>
                <w:b/>
                <w:szCs w:val="18"/>
                <w:lang w:val="en-US"/>
              </w:rPr>
              <w:t>Prepare the physician.</w:t>
            </w:r>
          </w:p>
          <w:p w14:paraId="40B3D187" w14:textId="2E6D1AE2" w:rsidR="00466CEB" w:rsidRPr="00AC382E" w:rsidRDefault="0039153B" w:rsidP="0039153B">
            <w:pPr>
              <w:tabs>
                <w:tab w:val="left" w:pos="4475"/>
              </w:tabs>
              <w:spacing w:before="0" w:line="240" w:lineRule="auto"/>
              <w:ind w:left="-36"/>
              <w:rPr>
                <w:rFonts w:cs="Arial"/>
                <w:b/>
                <w:szCs w:val="18"/>
                <w:lang w:val="en-US"/>
              </w:rPr>
            </w:pPr>
            <w:r w:rsidRPr="00AC382E">
              <w:rPr>
                <w:rFonts w:cs="Arial"/>
                <w:szCs w:val="18"/>
                <w:lang w:val="en-US"/>
              </w:rPr>
              <w:t xml:space="preserve">In a “mini-huddle” with the physician, share the information you’ve learned during rooming, such as the patient’s goals for </w:t>
            </w:r>
            <w:bookmarkStart w:id="3" w:name="_GoBack"/>
            <w:bookmarkEnd w:id="3"/>
            <w:r w:rsidRPr="00AC382E">
              <w:rPr>
                <w:rFonts w:cs="Arial"/>
                <w:szCs w:val="18"/>
                <w:lang w:val="en-US"/>
              </w:rPr>
              <w:t>the visit, response to treatment initiated during the last visit and social/emotional history. For example, “The patient felt dizzy on the atenolol we started at the last visit and decided to stop it. In addition, her husband was recently diagnosed with Alzheimer’s disease. She is stressed and doesn’t think she can handle another medication at this time.” This handoff, taking no more than a minute, will help the physician best meet the patient’s needs.</w:t>
            </w:r>
          </w:p>
        </w:tc>
      </w:tr>
    </w:tbl>
    <w:bookmarkEnd w:id="2"/>
    <w:p w14:paraId="64F2A3C9" w14:textId="77777777" w:rsidR="00201EC5" w:rsidRPr="00201EC5" w:rsidRDefault="00201EC5" w:rsidP="00201EC5">
      <w:pPr>
        <w:spacing w:line="240" w:lineRule="auto"/>
        <w:ind w:left="-142"/>
        <w:rPr>
          <w:rFonts w:cs="Arial"/>
          <w:i/>
          <w:sz w:val="16"/>
          <w:szCs w:val="16"/>
          <w:lang w:val="en-US"/>
        </w:rPr>
      </w:pPr>
      <w:r w:rsidRPr="00201EC5">
        <w:rPr>
          <w:rFonts w:cs="Arial"/>
          <w:i/>
          <w:sz w:val="16"/>
          <w:szCs w:val="16"/>
          <w:lang w:val="en-US"/>
        </w:rPr>
        <w:t>Source: AMA. Practice transformation series: implementing team-based care. 2015.</w:t>
      </w:r>
    </w:p>
    <w:p w14:paraId="425CECBB" w14:textId="77777777" w:rsidR="00AB747A" w:rsidRPr="00F3562C" w:rsidRDefault="00AB747A" w:rsidP="00466CEB"/>
    <w:p w14:paraId="54A24550" w14:textId="77777777" w:rsidR="00EC1504" w:rsidRPr="00F3562C" w:rsidRDefault="00EC1504">
      <w:pPr>
        <w:rPr>
          <w:rFonts w:asciiTheme="minorHAnsi" w:eastAsiaTheme="minorHAnsi" w:hAnsiTheme="minorHAnsi" w:cstheme="minorBidi"/>
          <w:sz w:val="24"/>
          <w:lang w:val="en-US" w:eastAsia="en-US"/>
        </w:rPr>
      </w:pPr>
    </w:p>
    <w:sectPr w:rsidR="00EC1504" w:rsidRPr="00F3562C" w:rsidSect="009E0D36">
      <w:headerReference w:type="default" r:id="rId9"/>
      <w:footerReference w:type="even" r:id="rId10"/>
      <w:footerReference w:type="default" r:id="rId11"/>
      <w:pgSz w:w="12240" w:h="15840"/>
      <w:pgMar w:top="1234" w:right="1800" w:bottom="2127"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F54D" w14:textId="77777777" w:rsidR="00706C8F" w:rsidRDefault="00706C8F">
      <w:pPr>
        <w:spacing w:line="240" w:lineRule="auto"/>
      </w:pPr>
      <w:r>
        <w:separator/>
      </w:r>
    </w:p>
  </w:endnote>
  <w:endnote w:type="continuationSeparator" w:id="0">
    <w:p w14:paraId="627BD8FE" w14:textId="77777777" w:rsidR="00706C8F" w:rsidRDefault="00706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kMukta-Light">
    <w:altName w:val="Ek Mukta Light"/>
    <w:panose1 w:val="00000000000000000000"/>
    <w:charset w:val="4D"/>
    <w:family w:val="auto"/>
    <w:notTrueType/>
    <w:pitch w:val="default"/>
    <w:sig w:usb0="00000003" w:usb1="00000000" w:usb2="00000000" w:usb3="00000000" w:csb0="00000001" w:csb1="00000000"/>
  </w:font>
  <w:font w:name="Lucida Grande">
    <w:altName w:val="Franklin Gothic Medium Con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4879" w14:textId="77777777" w:rsidR="00F91F31" w:rsidRDefault="00F91F31" w:rsidP="00EC1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50E4A" w14:textId="77777777" w:rsidR="00F91F31" w:rsidRDefault="00F91F31" w:rsidP="00D16D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8D6C" w14:textId="77777777" w:rsidR="00F91F31" w:rsidRDefault="00F91F31" w:rsidP="00CF2738">
    <w:pPr>
      <w:pStyle w:val="Footer"/>
      <w:framePr w:wrap="around" w:vAnchor="text" w:hAnchor="page" w:x="10702" w:y="7"/>
      <w:rPr>
        <w:rStyle w:val="PageNumber"/>
      </w:rPr>
    </w:pPr>
    <w:r>
      <w:rPr>
        <w:rStyle w:val="PageNumber"/>
      </w:rPr>
      <w:fldChar w:fldCharType="begin"/>
    </w:r>
    <w:r>
      <w:rPr>
        <w:rStyle w:val="PageNumber"/>
      </w:rPr>
      <w:instrText xml:space="preserve">PAGE  </w:instrText>
    </w:r>
    <w:r>
      <w:rPr>
        <w:rStyle w:val="PageNumber"/>
      </w:rPr>
      <w:fldChar w:fldCharType="separate"/>
    </w:r>
    <w:r w:rsidR="00201EC5">
      <w:rPr>
        <w:rStyle w:val="PageNumber"/>
        <w:noProof/>
      </w:rPr>
      <w:t>1</w:t>
    </w:r>
    <w:r>
      <w:rPr>
        <w:rStyle w:val="PageNumber"/>
      </w:rPr>
      <w:fldChar w:fldCharType="end"/>
    </w:r>
  </w:p>
  <w:p w14:paraId="5E646464" w14:textId="7A36BB0E" w:rsidR="00F91F31" w:rsidRPr="005734AF" w:rsidRDefault="004D2967" w:rsidP="00A76842">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00F91F31"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ECCD" w14:textId="77777777" w:rsidR="00706C8F" w:rsidRDefault="00706C8F">
      <w:pPr>
        <w:spacing w:line="240" w:lineRule="auto"/>
      </w:pPr>
      <w:r>
        <w:separator/>
      </w:r>
    </w:p>
  </w:footnote>
  <w:footnote w:type="continuationSeparator" w:id="0">
    <w:p w14:paraId="16825666" w14:textId="77777777" w:rsidR="00706C8F" w:rsidRDefault="00706C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5305" w14:textId="247027D8" w:rsidR="00F91F31" w:rsidRDefault="00F91F31" w:rsidP="009E0D36">
    <w:pPr>
      <w:pStyle w:val="Header"/>
      <w:ind w:left="-1426"/>
    </w:pPr>
  </w:p>
  <w:p w14:paraId="054DC65B" w14:textId="1C242A6F" w:rsidR="00F91F31" w:rsidRDefault="009E0D36" w:rsidP="00DE2AE0">
    <w:pPr>
      <w:pStyle w:val="Header"/>
      <w:ind w:left="-1800"/>
    </w:pPr>
    <w:r>
      <w:rPr>
        <w:noProof/>
        <w:lang w:val="en-US" w:eastAsia="en-US"/>
      </w:rPr>
      <w:drawing>
        <wp:inline distT="0" distB="0" distL="0" distR="0" wp14:anchorId="30EF18EF" wp14:editId="7B1CD4FF">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290"/>
    <w:multiLevelType w:val="hybridMultilevel"/>
    <w:tmpl w:val="DE28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MarginGuides" w:val="0"/>
    <w:docVar w:name="ShowStaticGuides" w:val="0"/>
  </w:docVars>
  <w:rsids>
    <w:rsidRoot w:val="00AB4906"/>
    <w:rsid w:val="000114CC"/>
    <w:rsid w:val="00032042"/>
    <w:rsid w:val="0004340F"/>
    <w:rsid w:val="000574B1"/>
    <w:rsid w:val="00074769"/>
    <w:rsid w:val="0010536E"/>
    <w:rsid w:val="0013714A"/>
    <w:rsid w:val="00156A2B"/>
    <w:rsid w:val="00173E72"/>
    <w:rsid w:val="00176A75"/>
    <w:rsid w:val="001C4E61"/>
    <w:rsid w:val="001E68C2"/>
    <w:rsid w:val="001F7D4F"/>
    <w:rsid w:val="00201EC5"/>
    <w:rsid w:val="002300F6"/>
    <w:rsid w:val="00261020"/>
    <w:rsid w:val="002D636E"/>
    <w:rsid w:val="002E3B99"/>
    <w:rsid w:val="002E6E6A"/>
    <w:rsid w:val="00311ABA"/>
    <w:rsid w:val="003212F7"/>
    <w:rsid w:val="00347578"/>
    <w:rsid w:val="0037117A"/>
    <w:rsid w:val="0039153B"/>
    <w:rsid w:val="00391883"/>
    <w:rsid w:val="003D4F7A"/>
    <w:rsid w:val="003E0130"/>
    <w:rsid w:val="003F3AEE"/>
    <w:rsid w:val="00411F4A"/>
    <w:rsid w:val="00416015"/>
    <w:rsid w:val="00441A96"/>
    <w:rsid w:val="00441AF4"/>
    <w:rsid w:val="00461387"/>
    <w:rsid w:val="00466CEB"/>
    <w:rsid w:val="00490517"/>
    <w:rsid w:val="004A5B05"/>
    <w:rsid w:val="004C7678"/>
    <w:rsid w:val="004D2967"/>
    <w:rsid w:val="004E6339"/>
    <w:rsid w:val="0057162C"/>
    <w:rsid w:val="005734AF"/>
    <w:rsid w:val="00584A37"/>
    <w:rsid w:val="005B4DCF"/>
    <w:rsid w:val="005C036C"/>
    <w:rsid w:val="005F011C"/>
    <w:rsid w:val="006815B5"/>
    <w:rsid w:val="006B06F8"/>
    <w:rsid w:val="006F31FE"/>
    <w:rsid w:val="00706C8F"/>
    <w:rsid w:val="00764632"/>
    <w:rsid w:val="007F2DD3"/>
    <w:rsid w:val="00832E58"/>
    <w:rsid w:val="00872A32"/>
    <w:rsid w:val="00877714"/>
    <w:rsid w:val="00890F95"/>
    <w:rsid w:val="008E7F45"/>
    <w:rsid w:val="009409EB"/>
    <w:rsid w:val="009745E8"/>
    <w:rsid w:val="0098299C"/>
    <w:rsid w:val="00986F51"/>
    <w:rsid w:val="00993877"/>
    <w:rsid w:val="00994F88"/>
    <w:rsid w:val="009B6050"/>
    <w:rsid w:val="009C3A11"/>
    <w:rsid w:val="009E0D36"/>
    <w:rsid w:val="009E22D5"/>
    <w:rsid w:val="009E24C6"/>
    <w:rsid w:val="00A0512B"/>
    <w:rsid w:val="00A23B77"/>
    <w:rsid w:val="00A335E7"/>
    <w:rsid w:val="00A54881"/>
    <w:rsid w:val="00A76842"/>
    <w:rsid w:val="00A82D5E"/>
    <w:rsid w:val="00A96FA5"/>
    <w:rsid w:val="00AB4906"/>
    <w:rsid w:val="00AB6E03"/>
    <w:rsid w:val="00AB747A"/>
    <w:rsid w:val="00AC382E"/>
    <w:rsid w:val="00AE4C0A"/>
    <w:rsid w:val="00AF4781"/>
    <w:rsid w:val="00B01CA0"/>
    <w:rsid w:val="00B44A3B"/>
    <w:rsid w:val="00B51A99"/>
    <w:rsid w:val="00B608F2"/>
    <w:rsid w:val="00B954EC"/>
    <w:rsid w:val="00C00E95"/>
    <w:rsid w:val="00C20CCA"/>
    <w:rsid w:val="00C46DE5"/>
    <w:rsid w:val="00C85F2B"/>
    <w:rsid w:val="00C90686"/>
    <w:rsid w:val="00C919F5"/>
    <w:rsid w:val="00CB79B3"/>
    <w:rsid w:val="00CE19F6"/>
    <w:rsid w:val="00CF2738"/>
    <w:rsid w:val="00D16DC7"/>
    <w:rsid w:val="00D72273"/>
    <w:rsid w:val="00D93E9C"/>
    <w:rsid w:val="00D94A45"/>
    <w:rsid w:val="00D94AB3"/>
    <w:rsid w:val="00DE26F2"/>
    <w:rsid w:val="00DE2AE0"/>
    <w:rsid w:val="00E219CF"/>
    <w:rsid w:val="00E34556"/>
    <w:rsid w:val="00E404B4"/>
    <w:rsid w:val="00E43872"/>
    <w:rsid w:val="00EC1504"/>
    <w:rsid w:val="00EC186D"/>
    <w:rsid w:val="00F3562C"/>
    <w:rsid w:val="00F5232F"/>
    <w:rsid w:val="00F85B9B"/>
    <w:rsid w:val="00F91F31"/>
    <w:rsid w:val="00FA0F91"/>
    <w:rsid w:val="00FD5E29"/>
    <w:rsid w:val="00FF59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D1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
    <w:uiPriority w:val="9"/>
    <w:unhideWhenUsed/>
    <w:qFormat/>
    <w:rsid w:val="00466CEB"/>
    <w:pPr>
      <w:keepNext/>
      <w:keepLines/>
      <w:spacing w:before="20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iPriority w:val="99"/>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rsid w:val="000114CC"/>
    <w:rPr>
      <w:rFonts w:ascii="Arial" w:eastAsia="Times New Roman" w:hAnsi="Arial"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rsid w:val="000114CC"/>
    <w:rPr>
      <w:rFonts w:ascii="Arial" w:eastAsia="Times New Roman" w:hAnsi="Arial" w:cs="Times New Roman"/>
      <w:sz w:val="18"/>
      <w:szCs w:val="24"/>
      <w:lang w:val="en-GB" w:eastAsia="en-GB"/>
    </w:rPr>
  </w:style>
  <w:style w:type="paragraph" w:customStyle="1" w:styleId="ParagraphStyle1">
    <w:name w:val="Paragraph Style 1"/>
    <w:basedOn w:val="Normal"/>
    <w:uiPriority w:val="99"/>
    <w:rsid w:val="005734AF"/>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lang w:val="en-US" w:eastAsia="en-US"/>
    </w:rPr>
  </w:style>
  <w:style w:type="character" w:customStyle="1" w:styleId="bodycopy">
    <w:name w:val="body copy"/>
    <w:uiPriority w:val="99"/>
    <w:rsid w:val="005734AF"/>
    <w:rPr>
      <w:rFonts w:ascii="EkMukta-Light" w:hAnsi="EkMukta-Light" w:cs="EkMukta-Light"/>
      <w:color w:val="585858"/>
      <w:sz w:val="20"/>
      <w:szCs w:val="20"/>
    </w:rPr>
  </w:style>
  <w:style w:type="character" w:styleId="PageNumber">
    <w:name w:val="page number"/>
    <w:basedOn w:val="DefaultParagraphFont"/>
    <w:rsid w:val="005734AF"/>
  </w:style>
  <w:style w:type="paragraph" w:styleId="BalloonText">
    <w:name w:val="Balloon Text"/>
    <w:basedOn w:val="Normal"/>
    <w:link w:val="BalloonTextChar"/>
    <w:rsid w:val="00EC1504"/>
    <w:pPr>
      <w:spacing w:line="240" w:lineRule="auto"/>
    </w:pPr>
    <w:rPr>
      <w:rFonts w:ascii="Lucida Grande" w:hAnsi="Lucida Grande"/>
      <w:szCs w:val="18"/>
    </w:rPr>
  </w:style>
  <w:style w:type="character" w:customStyle="1" w:styleId="BalloonTextChar">
    <w:name w:val="Balloon Text Char"/>
    <w:basedOn w:val="DefaultParagraphFont"/>
    <w:link w:val="BalloonText"/>
    <w:rsid w:val="00EC1504"/>
    <w:rPr>
      <w:rFonts w:ascii="Lucida Grande" w:eastAsia="Times New Roman" w:hAnsi="Lucida Grande" w:cs="Times New Roman"/>
      <w:sz w:val="18"/>
      <w:szCs w:val="18"/>
      <w:lang w:val="en-GB" w:eastAsia="en-GB"/>
    </w:rPr>
  </w:style>
  <w:style w:type="character" w:customStyle="1" w:styleId="Heading2Char">
    <w:name w:val="Heading 2 Char"/>
    <w:basedOn w:val="DefaultParagraphFont"/>
    <w:link w:val="Heading2"/>
    <w:uiPriority w:val="9"/>
    <w:rsid w:val="00466C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AB7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
    <w:uiPriority w:val="9"/>
    <w:unhideWhenUsed/>
    <w:qFormat/>
    <w:rsid w:val="00466CEB"/>
    <w:pPr>
      <w:keepNext/>
      <w:keepLines/>
      <w:spacing w:before="20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iPriority w:val="99"/>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rsid w:val="000114CC"/>
    <w:rPr>
      <w:rFonts w:ascii="Arial" w:eastAsia="Times New Roman" w:hAnsi="Arial"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rsid w:val="000114CC"/>
    <w:rPr>
      <w:rFonts w:ascii="Arial" w:eastAsia="Times New Roman" w:hAnsi="Arial" w:cs="Times New Roman"/>
      <w:sz w:val="18"/>
      <w:szCs w:val="24"/>
      <w:lang w:val="en-GB" w:eastAsia="en-GB"/>
    </w:rPr>
  </w:style>
  <w:style w:type="paragraph" w:customStyle="1" w:styleId="ParagraphStyle1">
    <w:name w:val="Paragraph Style 1"/>
    <w:basedOn w:val="Normal"/>
    <w:uiPriority w:val="99"/>
    <w:rsid w:val="005734AF"/>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lang w:val="en-US" w:eastAsia="en-US"/>
    </w:rPr>
  </w:style>
  <w:style w:type="character" w:customStyle="1" w:styleId="bodycopy">
    <w:name w:val="body copy"/>
    <w:uiPriority w:val="99"/>
    <w:rsid w:val="005734AF"/>
    <w:rPr>
      <w:rFonts w:ascii="EkMukta-Light" w:hAnsi="EkMukta-Light" w:cs="EkMukta-Light"/>
      <w:color w:val="585858"/>
      <w:sz w:val="20"/>
      <w:szCs w:val="20"/>
    </w:rPr>
  </w:style>
  <w:style w:type="character" w:styleId="PageNumber">
    <w:name w:val="page number"/>
    <w:basedOn w:val="DefaultParagraphFont"/>
    <w:rsid w:val="005734AF"/>
  </w:style>
  <w:style w:type="paragraph" w:styleId="BalloonText">
    <w:name w:val="Balloon Text"/>
    <w:basedOn w:val="Normal"/>
    <w:link w:val="BalloonTextChar"/>
    <w:rsid w:val="00EC1504"/>
    <w:pPr>
      <w:spacing w:line="240" w:lineRule="auto"/>
    </w:pPr>
    <w:rPr>
      <w:rFonts w:ascii="Lucida Grande" w:hAnsi="Lucida Grande"/>
      <w:szCs w:val="18"/>
    </w:rPr>
  </w:style>
  <w:style w:type="character" w:customStyle="1" w:styleId="BalloonTextChar">
    <w:name w:val="Balloon Text Char"/>
    <w:basedOn w:val="DefaultParagraphFont"/>
    <w:link w:val="BalloonText"/>
    <w:rsid w:val="00EC1504"/>
    <w:rPr>
      <w:rFonts w:ascii="Lucida Grande" w:eastAsia="Times New Roman" w:hAnsi="Lucida Grande" w:cs="Times New Roman"/>
      <w:sz w:val="18"/>
      <w:szCs w:val="18"/>
      <w:lang w:val="en-GB" w:eastAsia="en-GB"/>
    </w:rPr>
  </w:style>
  <w:style w:type="character" w:customStyle="1" w:styleId="Heading2Char">
    <w:name w:val="Heading 2 Char"/>
    <w:basedOn w:val="DefaultParagraphFont"/>
    <w:link w:val="Heading2"/>
    <w:uiPriority w:val="9"/>
    <w:rsid w:val="00466C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AB7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7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TMWK-1711667696-1522</_dlc_DocId>
    <_dlc_DocIdUrl xmlns="56ca14a9-86ae-4ef3-8e6a-8ffc11662945">
      <Url>https://amatoday.sharepoint.com/sites/teamwork/EducationCenterEngage/_layouts/15/DocIdRedir.aspx?ID=TMWK-1711667696-1522</Url>
      <Description>TMWK-1711667696-1522</Description>
    </_dlc_DocIdUrl>
  </documentManagement>
</p:properties>
</file>

<file path=customXml/itemProps1.xml><?xml version="1.0" encoding="utf-8"?>
<ds:datastoreItem xmlns:ds="http://schemas.openxmlformats.org/officeDocument/2006/customXml" ds:itemID="{66CCF4ED-CBC9-4B4D-A276-836D3D2BC3A7}">
  <ds:schemaRefs>
    <ds:schemaRef ds:uri="http://schemas.openxmlformats.org/officeDocument/2006/bibliography"/>
  </ds:schemaRefs>
</ds:datastoreItem>
</file>

<file path=customXml/itemProps2.xml><?xml version="1.0" encoding="utf-8"?>
<ds:datastoreItem xmlns:ds="http://schemas.openxmlformats.org/officeDocument/2006/customXml" ds:itemID="{7D999506-A804-4370-BC1D-EA157CED8DC0}"/>
</file>

<file path=customXml/itemProps3.xml><?xml version="1.0" encoding="utf-8"?>
<ds:datastoreItem xmlns:ds="http://schemas.openxmlformats.org/officeDocument/2006/customXml" ds:itemID="{7B5B1977-680A-41AC-9F78-F5DFC845F35B}"/>
</file>

<file path=customXml/itemProps4.xml><?xml version="1.0" encoding="utf-8"?>
<ds:datastoreItem xmlns:ds="http://schemas.openxmlformats.org/officeDocument/2006/customXml" ds:itemID="{B38758F4-105B-4654-AAE8-6C8C2CD61D7E}"/>
</file>

<file path=customXml/itemProps5.xml><?xml version="1.0" encoding="utf-8"?>
<ds:datastoreItem xmlns:ds="http://schemas.openxmlformats.org/officeDocument/2006/customXml" ds:itemID="{190D05A2-4A89-48D2-A3BA-9CD719B45441}"/>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Company>Klick</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Rooming checklist</dc:title>
  <dc:creator>Heeyol Lee</dc:creator>
  <cp:lastModifiedBy>Krwhite</cp:lastModifiedBy>
  <cp:revision>4</cp:revision>
  <cp:lastPrinted>2014-10-08T14:51:00Z</cp:lastPrinted>
  <dcterms:created xsi:type="dcterms:W3CDTF">2015-05-14T14:22:00Z</dcterms:created>
  <dcterms:modified xsi:type="dcterms:W3CDTF">2015-09-10T14:31:00Z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52f99d86-e286-4225-9fde-71e1d7adec9d</vt:lpwstr>
  </property>
</Properties>
</file>