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AE79" w14:textId="15D8E69B" w:rsidR="00D44BB3" w:rsidRPr="00D44BB3" w:rsidRDefault="002B6296" w:rsidP="00D44BB3">
      <w:pPr>
        <w:pStyle w:val="Heading1"/>
      </w:pPr>
      <w:bookmarkStart w:id="0" w:name="_GoBack"/>
      <w:bookmarkEnd w:id="0"/>
      <w:r w:rsidRPr="00D44BB3">
        <w:t xml:space="preserve">Pre-visit </w:t>
      </w:r>
      <w:r w:rsidR="00D44BB3" w:rsidRPr="00D44BB3">
        <w:t>l</w:t>
      </w:r>
      <w:r w:rsidR="00FA545E">
        <w:t>abor</w:t>
      </w:r>
      <w:r w:rsidRPr="00D44BB3">
        <w:t xml:space="preserve">atory </w:t>
      </w:r>
      <w:r w:rsidR="00D44BB3" w:rsidRPr="00D44BB3">
        <w:t>t</w:t>
      </w:r>
      <w:r w:rsidRPr="00D44BB3">
        <w:t xml:space="preserve">esting </w:t>
      </w:r>
      <w:r w:rsidR="00D44BB3" w:rsidRPr="00D44BB3">
        <w:t>i</w:t>
      </w:r>
      <w:r w:rsidRPr="00D44BB3">
        <w:t xml:space="preserve">mplementation </w:t>
      </w:r>
      <w:r w:rsidR="00D44BB3" w:rsidRPr="00D44BB3">
        <w:t>c</w:t>
      </w:r>
      <w:r w:rsidRPr="00D44BB3">
        <w:t>hecklist</w:t>
      </w:r>
    </w:p>
    <w:p w14:paraId="2C262D70" w14:textId="17A733E6" w:rsidR="00514EF8" w:rsidRPr="00D44BB3" w:rsidRDefault="002B6296" w:rsidP="00D44BB3">
      <w:pPr>
        <w:pStyle w:val="Heading1"/>
        <w:spacing w:after="240"/>
        <w:rPr>
          <w:sz w:val="26"/>
          <w:szCs w:val="26"/>
        </w:rPr>
      </w:pPr>
      <w:r w:rsidRPr="00D44BB3">
        <w:rPr>
          <w:sz w:val="26"/>
          <w:szCs w:val="26"/>
        </w:rPr>
        <w:t>Framework for a quality improvement or MOC Part IV activity</w:t>
      </w: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67"/>
        <w:gridCol w:w="8577"/>
      </w:tblGrid>
      <w:tr w:rsidR="0031060A" w:rsidRPr="000314FA" w14:paraId="18728996" w14:textId="77777777" w:rsidTr="00D4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  <w:jc w:val="left"/>
        </w:trPr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85" w:type="dxa"/>
              <w:bottom w:w="85" w:type="dxa"/>
            </w:tcMar>
          </w:tcPr>
          <w:p w14:paraId="79C1BCBD" w14:textId="5C21F1F1" w:rsidR="0031060A" w:rsidRPr="002B6296" w:rsidRDefault="0031060A" w:rsidP="00A71452">
            <w:pPr>
              <w:tabs>
                <w:tab w:val="left" w:pos="4475"/>
              </w:tabs>
              <w:spacing w:line="240" w:lineRule="auto"/>
              <w:ind w:left="-36" w:firstLine="36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2B6296">
              <w:rPr>
                <w:color w:val="FFFFFF" w:themeColor="background1"/>
                <w:szCs w:val="18"/>
              </w:rPr>
              <w:t>Assess</w:t>
            </w:r>
          </w:p>
        </w:tc>
      </w:tr>
      <w:tr w:rsidR="002B6296" w:rsidRPr="000314FA" w14:paraId="46205E80" w14:textId="77777777" w:rsidTr="00D4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567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052FC6E" w14:textId="77777777" w:rsidR="002B6296" w:rsidRPr="000314FA" w:rsidRDefault="002B6296" w:rsidP="00896BBB">
            <w:pPr>
              <w:spacing w:before="0" w:line="240" w:lineRule="auto"/>
              <w:ind w:left="-36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77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419C5D2" w14:textId="77777777" w:rsidR="002B6296" w:rsidRPr="004A33EC" w:rsidRDefault="002B6296" w:rsidP="0063760F">
            <w:pPr>
              <w:spacing w:before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Identify opportunities for improvement.</w:t>
            </w:r>
          </w:p>
          <w:p w14:paraId="630807CE" w14:textId="0BC6E022" w:rsidR="002B6296" w:rsidRPr="006B6A04" w:rsidRDefault="002B6296" w:rsidP="002B6296">
            <w:pPr>
              <w:tabs>
                <w:tab w:val="left" w:pos="4475"/>
              </w:tabs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A33EC">
              <w:rPr>
                <w:rFonts w:cs="Arial"/>
                <w:szCs w:val="18"/>
              </w:rPr>
              <w:t xml:space="preserve">In reviewing </w:t>
            </w:r>
            <w:r>
              <w:rPr>
                <w:rFonts w:cs="Arial"/>
                <w:szCs w:val="18"/>
              </w:rPr>
              <w:t>this toolkit</w:t>
            </w:r>
            <w:r w:rsidRPr="004A33EC">
              <w:rPr>
                <w:rFonts w:cs="Arial"/>
                <w:szCs w:val="18"/>
              </w:rPr>
              <w:t xml:space="preserve">, did you see any </w:t>
            </w:r>
            <w:r>
              <w:rPr>
                <w:rFonts w:cs="Arial"/>
                <w:szCs w:val="18"/>
              </w:rPr>
              <w:t>strategies</w:t>
            </w:r>
            <w:r w:rsidRPr="004A33EC">
              <w:rPr>
                <w:rFonts w:cs="Arial"/>
                <w:szCs w:val="18"/>
              </w:rPr>
              <w:t xml:space="preserve"> that are not currently </w:t>
            </w:r>
            <w:r>
              <w:rPr>
                <w:rFonts w:cs="Arial"/>
                <w:szCs w:val="18"/>
              </w:rPr>
              <w:t xml:space="preserve">being </w:t>
            </w:r>
            <w:r w:rsidRPr="004A33EC">
              <w:rPr>
                <w:rFonts w:cs="Arial"/>
                <w:szCs w:val="18"/>
              </w:rPr>
              <w:t>us</w:t>
            </w:r>
            <w:r>
              <w:rPr>
                <w:rFonts w:cs="Arial"/>
                <w:szCs w:val="18"/>
              </w:rPr>
              <w:t>ed</w:t>
            </w:r>
            <w:r w:rsidRPr="004A33E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in your practice</w:t>
            </w:r>
            <w:r w:rsidRPr="004A33EC">
              <w:rPr>
                <w:rFonts w:cs="Arial"/>
                <w:szCs w:val="18"/>
              </w:rPr>
              <w:t xml:space="preserve"> that may help </w:t>
            </w:r>
            <w:r>
              <w:rPr>
                <w:rFonts w:cs="Arial"/>
                <w:szCs w:val="18"/>
              </w:rPr>
              <w:t>the team achieve more efficient and meaningful patient visits, and reduce time spent calling patients after visits with results?</w:t>
            </w:r>
          </w:p>
        </w:tc>
      </w:tr>
      <w:tr w:rsidR="002B6296" w:rsidRPr="000314FA" w14:paraId="24F3580A" w14:textId="77777777" w:rsidTr="00D44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567" w:type="dxa"/>
            <w:shd w:val="clear" w:color="auto" w:fill="auto"/>
            <w:tcMar>
              <w:top w:w="85" w:type="dxa"/>
              <w:bottom w:w="85" w:type="dxa"/>
            </w:tcMar>
          </w:tcPr>
          <w:p w14:paraId="62D62738" w14:textId="77777777" w:rsidR="002B6296" w:rsidRPr="000314FA" w:rsidRDefault="002B6296" w:rsidP="00896BBB">
            <w:pPr>
              <w:spacing w:before="0" w:line="240" w:lineRule="auto"/>
              <w:ind w:left="-36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77" w:type="dxa"/>
            <w:shd w:val="clear" w:color="auto" w:fill="auto"/>
            <w:tcMar>
              <w:top w:w="85" w:type="dxa"/>
              <w:bottom w:w="85" w:type="dxa"/>
            </w:tcMar>
          </w:tcPr>
          <w:p w14:paraId="4A4AB328" w14:textId="77777777" w:rsidR="002B6296" w:rsidRPr="004A33EC" w:rsidRDefault="002B6296" w:rsidP="0063760F">
            <w:pPr>
              <w:spacing w:before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Obtain baseline data to understand the current state.</w:t>
            </w:r>
          </w:p>
          <w:p w14:paraId="69FCDE91" w14:textId="7F9434A7" w:rsidR="002B6296" w:rsidRPr="000314FA" w:rsidRDefault="002B6296" w:rsidP="002B6296">
            <w:pPr>
              <w:tabs>
                <w:tab w:val="left" w:pos="4475"/>
              </w:tabs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szCs w:val="18"/>
              </w:rPr>
              <w:t xml:space="preserve">Use this module’s proposed metrics to measure an indicator that is important to the practice, such as an outcome or satisfaction measure. </w:t>
            </w:r>
            <w:r>
              <w:rPr>
                <w:rFonts w:cs="Arial"/>
                <w:b/>
                <w:szCs w:val="18"/>
              </w:rPr>
              <w:t xml:space="preserve">See metrics and data collection forms. </w:t>
            </w:r>
          </w:p>
        </w:tc>
      </w:tr>
    </w:tbl>
    <w:p w14:paraId="2E0A02F5" w14:textId="77777777" w:rsidR="001F7D4F" w:rsidRDefault="001F7D4F" w:rsidP="00767BEC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67"/>
        <w:gridCol w:w="8577"/>
      </w:tblGrid>
      <w:tr w:rsidR="007C3420" w:rsidRPr="002B6296" w14:paraId="78B6E9BD" w14:textId="77777777" w:rsidTr="00D4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  <w:jc w:val="left"/>
        </w:trPr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85" w:type="dxa"/>
              <w:bottom w:w="85" w:type="dxa"/>
            </w:tcMar>
          </w:tcPr>
          <w:p w14:paraId="598FB245" w14:textId="7B67848D" w:rsidR="007C3420" w:rsidRPr="002B6296" w:rsidRDefault="007C3420" w:rsidP="00A71452">
            <w:pPr>
              <w:tabs>
                <w:tab w:val="left" w:pos="4475"/>
              </w:tabs>
              <w:spacing w:line="240" w:lineRule="auto"/>
              <w:ind w:left="-36" w:firstLine="36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2B6296">
              <w:rPr>
                <w:color w:val="FFFFFF" w:themeColor="background1"/>
                <w:szCs w:val="18"/>
              </w:rPr>
              <w:t>Improve</w:t>
            </w:r>
          </w:p>
        </w:tc>
      </w:tr>
      <w:tr w:rsidR="002B6296" w:rsidRPr="002B6296" w14:paraId="7116F12A" w14:textId="77777777" w:rsidTr="00D4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567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C31EE59" w14:textId="77777777" w:rsidR="002B6296" w:rsidRPr="002B6296" w:rsidRDefault="002B6296" w:rsidP="00430536">
            <w:pPr>
              <w:spacing w:before="0" w:line="240" w:lineRule="auto"/>
              <w:ind w:left="-36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577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A9BAE8E" w14:textId="77777777" w:rsidR="002B6296" w:rsidRDefault="002B6296" w:rsidP="0063760F">
            <w:pPr>
              <w:spacing w:before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Re-appoint the patient at the conclusion of each visit.</w:t>
            </w:r>
          </w:p>
          <w:p w14:paraId="6702CA47" w14:textId="6184485D" w:rsidR="002B6296" w:rsidRPr="002B6296" w:rsidRDefault="002B6296" w:rsidP="002B6296">
            <w:pPr>
              <w:tabs>
                <w:tab w:val="left" w:pos="4475"/>
              </w:tabs>
              <w:spacing w:before="0" w:line="240" w:lineRule="auto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Scheduling the next follow-up appointment before the patient has left the office says, “We want to see you again, and we will plan ahead to make your visit as meaningful as possible.”</w:t>
            </w:r>
          </w:p>
        </w:tc>
      </w:tr>
      <w:tr w:rsidR="002B6296" w:rsidRPr="002B6296" w14:paraId="2C3FEC4D" w14:textId="77777777" w:rsidTr="00D44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567" w:type="dxa"/>
            <w:shd w:val="clear" w:color="auto" w:fill="auto"/>
            <w:tcMar>
              <w:top w:w="85" w:type="dxa"/>
              <w:bottom w:w="85" w:type="dxa"/>
            </w:tcMar>
          </w:tcPr>
          <w:p w14:paraId="182EBD44" w14:textId="77777777" w:rsidR="002B6296" w:rsidRPr="002B6296" w:rsidRDefault="002B6296" w:rsidP="00430536">
            <w:pPr>
              <w:spacing w:before="0" w:line="240" w:lineRule="auto"/>
              <w:ind w:left="-36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577" w:type="dxa"/>
            <w:shd w:val="clear" w:color="auto" w:fill="auto"/>
            <w:tcMar>
              <w:top w:w="85" w:type="dxa"/>
              <w:bottom w:w="85" w:type="dxa"/>
            </w:tcMar>
          </w:tcPr>
          <w:p w14:paraId="6152866E" w14:textId="77777777" w:rsidR="002B6296" w:rsidRDefault="002B6296" w:rsidP="0063760F">
            <w:pPr>
              <w:spacing w:before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Pre-order labs and other needed tests.</w:t>
            </w:r>
          </w:p>
          <w:p w14:paraId="589D7936" w14:textId="35FC1FF9" w:rsidR="002B6296" w:rsidRPr="002B6296" w:rsidRDefault="002B6296" w:rsidP="002B6296">
            <w:pPr>
              <w:tabs>
                <w:tab w:val="left" w:pos="4475"/>
              </w:tabs>
              <w:spacing w:before="0" w:line="240" w:lineRule="auto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Schedule laboratory and other diagnostic tests at the appointment. This means it does not need to be done later and helps to increase patient compliance.</w:t>
            </w:r>
          </w:p>
        </w:tc>
      </w:tr>
      <w:tr w:rsidR="002B6296" w:rsidRPr="002B6296" w14:paraId="707B1319" w14:textId="77777777" w:rsidTr="00D4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567" w:type="dxa"/>
            <w:shd w:val="clear" w:color="auto" w:fill="auto"/>
            <w:tcMar>
              <w:top w:w="85" w:type="dxa"/>
              <w:bottom w:w="85" w:type="dxa"/>
            </w:tcMar>
          </w:tcPr>
          <w:p w14:paraId="3739F4DB" w14:textId="77777777" w:rsidR="002B6296" w:rsidRPr="002B6296" w:rsidRDefault="002B6296" w:rsidP="00430536">
            <w:pPr>
              <w:spacing w:line="240" w:lineRule="auto"/>
              <w:ind w:left="-36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577" w:type="dxa"/>
            <w:shd w:val="clear" w:color="auto" w:fill="auto"/>
            <w:tcMar>
              <w:top w:w="85" w:type="dxa"/>
              <w:bottom w:w="85" w:type="dxa"/>
            </w:tcMar>
          </w:tcPr>
          <w:p w14:paraId="15E068B9" w14:textId="77777777" w:rsidR="002B6296" w:rsidRDefault="002B6296" w:rsidP="0063760F">
            <w:pPr>
              <w:spacing w:before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Use a “visit planner” (paper or electronic checklist) to arrange the patient’s next appointment(s).</w:t>
            </w:r>
            <w:r w:rsidRPr="004A33EC">
              <w:rPr>
                <w:rFonts w:cs="Arial"/>
                <w:szCs w:val="18"/>
              </w:rPr>
              <w:t xml:space="preserve"> </w:t>
            </w:r>
          </w:p>
          <w:p w14:paraId="457339BE" w14:textId="0165E14C" w:rsidR="002B6296" w:rsidRPr="002B6296" w:rsidRDefault="002B6296" w:rsidP="002B6296">
            <w:pPr>
              <w:tabs>
                <w:tab w:val="left" w:pos="4475"/>
              </w:tabs>
              <w:spacing w:line="240" w:lineRule="auto"/>
              <w:rPr>
                <w:rFonts w:cs="Arial"/>
                <w:b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 xml:space="preserve">Using this checklist, the physician can indicate any interval care and associated labs to be completed before those appointments. </w:t>
            </w:r>
          </w:p>
        </w:tc>
      </w:tr>
      <w:tr w:rsidR="002B6296" w:rsidRPr="002B6296" w14:paraId="34E58CAE" w14:textId="77777777" w:rsidTr="00D44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567" w:type="dxa"/>
            <w:shd w:val="clear" w:color="auto" w:fill="auto"/>
            <w:tcMar>
              <w:top w:w="85" w:type="dxa"/>
              <w:bottom w:w="85" w:type="dxa"/>
            </w:tcMar>
          </w:tcPr>
          <w:p w14:paraId="30E38E2E" w14:textId="77777777" w:rsidR="002B6296" w:rsidRPr="002B6296" w:rsidRDefault="002B6296" w:rsidP="00430536">
            <w:pPr>
              <w:spacing w:line="240" w:lineRule="auto"/>
              <w:ind w:left="-36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577" w:type="dxa"/>
            <w:shd w:val="clear" w:color="auto" w:fill="auto"/>
            <w:tcMar>
              <w:top w:w="85" w:type="dxa"/>
              <w:bottom w:w="85" w:type="dxa"/>
            </w:tcMar>
          </w:tcPr>
          <w:p w14:paraId="62FE4A9C" w14:textId="77777777" w:rsidR="002B6296" w:rsidRDefault="002B6296" w:rsidP="0063760F">
            <w:pPr>
              <w:spacing w:before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Arrange for tests to be completed </w:t>
            </w:r>
            <w:r>
              <w:rPr>
                <w:rFonts w:cs="Arial"/>
                <w:b/>
                <w:i/>
                <w:szCs w:val="18"/>
              </w:rPr>
              <w:t>before</w:t>
            </w:r>
            <w:r>
              <w:rPr>
                <w:rFonts w:cs="Arial"/>
                <w:b/>
                <w:szCs w:val="18"/>
              </w:rPr>
              <w:t xml:space="preserve"> the next visit.</w:t>
            </w:r>
          </w:p>
          <w:p w14:paraId="24D25A79" w14:textId="5081317D" w:rsidR="002B6296" w:rsidRPr="002B6296" w:rsidRDefault="002B6296" w:rsidP="002B6296">
            <w:pPr>
              <w:tabs>
                <w:tab w:val="left" w:pos="4475"/>
              </w:tabs>
              <w:spacing w:line="240" w:lineRule="auto"/>
              <w:rPr>
                <w:rFonts w:cs="Arial"/>
                <w:b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 xml:space="preserve">By having a face-to-face conversation about results and any follow-up care with the patient at the visit, the physician will spend less time communicating with patients about lab results after their visit. </w:t>
            </w:r>
          </w:p>
        </w:tc>
      </w:tr>
      <w:tr w:rsidR="002B6296" w:rsidRPr="002B6296" w14:paraId="6DB8264A" w14:textId="77777777" w:rsidTr="00D4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567" w:type="dxa"/>
            <w:shd w:val="clear" w:color="auto" w:fill="auto"/>
            <w:tcMar>
              <w:top w:w="85" w:type="dxa"/>
              <w:bottom w:w="85" w:type="dxa"/>
            </w:tcMar>
          </w:tcPr>
          <w:p w14:paraId="6BD286F6" w14:textId="77777777" w:rsidR="002B6296" w:rsidRPr="002B6296" w:rsidRDefault="002B6296" w:rsidP="00430536">
            <w:pPr>
              <w:spacing w:line="240" w:lineRule="auto"/>
              <w:ind w:left="-36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577" w:type="dxa"/>
            <w:shd w:val="clear" w:color="auto" w:fill="auto"/>
            <w:tcMar>
              <w:top w:w="85" w:type="dxa"/>
              <w:bottom w:w="85" w:type="dxa"/>
            </w:tcMar>
          </w:tcPr>
          <w:p w14:paraId="4F01781D" w14:textId="77777777" w:rsidR="002B6296" w:rsidRDefault="002B6296" w:rsidP="0063760F">
            <w:pPr>
              <w:spacing w:before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Delegate computerized order entry.</w:t>
            </w:r>
          </w:p>
          <w:p w14:paraId="06906D27" w14:textId="0669DAF0" w:rsidR="002B6296" w:rsidRPr="002B6296" w:rsidRDefault="002B6296" w:rsidP="002B6296">
            <w:pPr>
              <w:tabs>
                <w:tab w:val="left" w:pos="4475"/>
              </w:tabs>
              <w:spacing w:line="240" w:lineRule="auto"/>
              <w:rPr>
                <w:rFonts w:cs="Arial"/>
                <w:b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Leverage appropriate staff to complete order entry and save valuable physician time.</w:t>
            </w:r>
          </w:p>
        </w:tc>
      </w:tr>
      <w:tr w:rsidR="002B6296" w:rsidRPr="002B6296" w14:paraId="31B48D71" w14:textId="77777777" w:rsidTr="00D44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567" w:type="dxa"/>
            <w:shd w:val="clear" w:color="auto" w:fill="auto"/>
            <w:tcMar>
              <w:top w:w="85" w:type="dxa"/>
              <w:bottom w:w="85" w:type="dxa"/>
            </w:tcMar>
          </w:tcPr>
          <w:p w14:paraId="0FF4BF49" w14:textId="77777777" w:rsidR="002B6296" w:rsidRPr="002B6296" w:rsidRDefault="002B6296" w:rsidP="00430536">
            <w:pPr>
              <w:spacing w:line="240" w:lineRule="auto"/>
              <w:ind w:left="-36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577" w:type="dxa"/>
            <w:shd w:val="clear" w:color="auto" w:fill="auto"/>
            <w:tcMar>
              <w:top w:w="85" w:type="dxa"/>
              <w:bottom w:w="85" w:type="dxa"/>
            </w:tcMar>
          </w:tcPr>
          <w:p w14:paraId="09B6BC17" w14:textId="77777777" w:rsidR="002B6296" w:rsidRDefault="002B6296" w:rsidP="0063760F">
            <w:pPr>
              <w:spacing w:before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Empower staff to manage the inbox.</w:t>
            </w:r>
          </w:p>
          <w:p w14:paraId="3B5B1EAC" w14:textId="425A6C49" w:rsidR="002B6296" w:rsidRPr="002B6296" w:rsidRDefault="002B6296" w:rsidP="002B6296">
            <w:pPr>
              <w:tabs>
                <w:tab w:val="left" w:pos="4475"/>
              </w:tabs>
              <w:spacing w:line="240" w:lineRule="auto"/>
              <w:rPr>
                <w:rFonts w:cs="Arial"/>
                <w:b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Staff can triage messages and address many of them, escalating only appropriate messages for physician review.</w:t>
            </w:r>
          </w:p>
        </w:tc>
      </w:tr>
    </w:tbl>
    <w:p w14:paraId="5D52604D" w14:textId="77777777" w:rsidR="002B6296" w:rsidRPr="002B6296" w:rsidRDefault="002B6296" w:rsidP="00767BEC">
      <w:pPr>
        <w:spacing w:line="240" w:lineRule="auto"/>
        <w:rPr>
          <w:b/>
          <w:szCs w:val="18"/>
        </w:rPr>
      </w:pP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67"/>
        <w:gridCol w:w="8577"/>
      </w:tblGrid>
      <w:tr w:rsidR="00567612" w:rsidRPr="002B6296" w14:paraId="0FE60D2B" w14:textId="77777777" w:rsidTr="00D4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  <w:jc w:val="left"/>
        </w:trPr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85" w:type="dxa"/>
              <w:bottom w:w="85" w:type="dxa"/>
            </w:tcMar>
          </w:tcPr>
          <w:p w14:paraId="7E75FFDF" w14:textId="56F089D5" w:rsidR="00567612" w:rsidRPr="002B6296" w:rsidRDefault="00610203" w:rsidP="00A71452">
            <w:pPr>
              <w:tabs>
                <w:tab w:val="left" w:pos="4475"/>
              </w:tabs>
              <w:spacing w:line="240" w:lineRule="auto"/>
              <w:ind w:left="-36" w:firstLine="36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2B6296">
              <w:rPr>
                <w:color w:val="FFFFFF" w:themeColor="background1"/>
                <w:szCs w:val="18"/>
              </w:rPr>
              <w:t>Reassess and reinvigorate</w:t>
            </w:r>
          </w:p>
        </w:tc>
      </w:tr>
      <w:tr w:rsidR="002B6296" w:rsidRPr="002B6296" w14:paraId="5BBE93A3" w14:textId="77777777" w:rsidTr="00D4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567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93E78B" w14:textId="77777777" w:rsidR="002B6296" w:rsidRPr="002B6296" w:rsidRDefault="002B6296" w:rsidP="00AA0660">
            <w:pPr>
              <w:spacing w:before="0" w:line="240" w:lineRule="auto"/>
              <w:ind w:left="-36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577" w:type="dxa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40CF8DD" w14:textId="29CBD1E4" w:rsidR="002B6296" w:rsidRPr="004A33EC" w:rsidRDefault="002B6296" w:rsidP="0063760F">
            <w:pPr>
              <w:spacing w:before="0" w:line="240" w:lineRule="auto"/>
              <w:rPr>
                <w:rFonts w:cs="Arial"/>
                <w:szCs w:val="18"/>
              </w:rPr>
            </w:pPr>
            <w:r w:rsidRPr="004A33EC">
              <w:rPr>
                <w:rFonts w:cs="Arial"/>
                <w:b/>
                <w:szCs w:val="18"/>
              </w:rPr>
              <w:t>Measure your success usin</w:t>
            </w:r>
            <w:r>
              <w:rPr>
                <w:rFonts w:cs="Arial"/>
                <w:b/>
                <w:szCs w:val="18"/>
              </w:rPr>
              <w:t>g the predetermined metrics.</w:t>
            </w:r>
          </w:p>
          <w:p w14:paraId="6C3581B9" w14:textId="70B3FBE4" w:rsidR="002B6296" w:rsidRPr="002B6296" w:rsidRDefault="002B6296" w:rsidP="002B6296">
            <w:pPr>
              <w:tabs>
                <w:tab w:val="left" w:pos="4475"/>
              </w:tabs>
              <w:spacing w:before="0" w:line="240" w:lineRule="auto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Use r</w:t>
            </w:r>
            <w:r w:rsidRPr="004A33EC">
              <w:rPr>
                <w:rFonts w:cs="Arial"/>
                <w:szCs w:val="18"/>
              </w:rPr>
              <w:t>esults</w:t>
            </w:r>
            <w:r>
              <w:rPr>
                <w:rFonts w:cs="Arial"/>
                <w:szCs w:val="18"/>
              </w:rPr>
              <w:t xml:space="preserve"> obtained from the chosen metrics to i</w:t>
            </w:r>
            <w:r w:rsidRPr="004A33EC">
              <w:rPr>
                <w:rFonts w:cs="Arial"/>
                <w:szCs w:val="18"/>
              </w:rPr>
              <w:t xml:space="preserve">dentify what is working well and where improvement efforts should be </w:t>
            </w:r>
            <w:proofErr w:type="gramStart"/>
            <w:r w:rsidRPr="004A33EC">
              <w:rPr>
                <w:rFonts w:cs="Arial"/>
                <w:szCs w:val="18"/>
              </w:rPr>
              <w:t>focused</w:t>
            </w:r>
            <w:r>
              <w:rPr>
                <w:rFonts w:cs="Arial"/>
                <w:szCs w:val="18"/>
              </w:rPr>
              <w:t>.</w:t>
            </w:r>
            <w:r w:rsidRPr="004A33EC">
              <w:rPr>
                <w:rFonts w:cs="Arial"/>
                <w:szCs w:val="18"/>
              </w:rPr>
              <w:t>.</w:t>
            </w:r>
            <w:proofErr w:type="gramEnd"/>
            <w:r>
              <w:rPr>
                <w:rFonts w:cs="Arial"/>
                <w:szCs w:val="18"/>
              </w:rPr>
              <w:t xml:space="preserve"> If participating in an MOC activity or a quality improvement effort, multiple improvement cycles may be undertaken.</w:t>
            </w:r>
          </w:p>
        </w:tc>
      </w:tr>
      <w:tr w:rsidR="002B6296" w:rsidRPr="002B6296" w14:paraId="206AD92D" w14:textId="77777777" w:rsidTr="00D44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567" w:type="dxa"/>
            <w:shd w:val="clear" w:color="auto" w:fill="auto"/>
            <w:tcMar>
              <w:top w:w="85" w:type="dxa"/>
              <w:bottom w:w="85" w:type="dxa"/>
            </w:tcMar>
          </w:tcPr>
          <w:p w14:paraId="3932B0C1" w14:textId="77777777" w:rsidR="002B6296" w:rsidRPr="002B6296" w:rsidRDefault="002B6296" w:rsidP="00AA0660">
            <w:pPr>
              <w:spacing w:before="0" w:line="240" w:lineRule="auto"/>
              <w:ind w:left="-36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577" w:type="dxa"/>
            <w:shd w:val="clear" w:color="auto" w:fill="auto"/>
            <w:tcMar>
              <w:top w:w="85" w:type="dxa"/>
              <w:bottom w:w="85" w:type="dxa"/>
            </w:tcMar>
          </w:tcPr>
          <w:p w14:paraId="1CB92786" w14:textId="77777777" w:rsidR="002B6296" w:rsidRPr="004A33EC" w:rsidRDefault="002B6296" w:rsidP="0063760F">
            <w:pPr>
              <w:spacing w:before="0" w:line="240" w:lineRule="auto"/>
              <w:rPr>
                <w:rFonts w:cs="Arial"/>
                <w:b/>
                <w:szCs w:val="18"/>
              </w:rPr>
            </w:pPr>
            <w:r w:rsidRPr="004A33EC">
              <w:rPr>
                <w:rFonts w:cs="Arial"/>
                <w:b/>
                <w:szCs w:val="18"/>
              </w:rPr>
              <w:t>Celebrate and reinforce successes to keep the team energized and committed</w:t>
            </w:r>
            <w:r>
              <w:rPr>
                <w:rFonts w:cs="Arial"/>
                <w:b/>
                <w:szCs w:val="18"/>
              </w:rPr>
              <w:t>.</w:t>
            </w:r>
          </w:p>
          <w:p w14:paraId="4D786FEE" w14:textId="062DF57B" w:rsidR="002B6296" w:rsidRPr="002B6296" w:rsidRDefault="002B6296" w:rsidP="002B6296">
            <w:pPr>
              <w:tabs>
                <w:tab w:val="left" w:pos="4475"/>
              </w:tabs>
              <w:spacing w:before="0" w:line="240" w:lineRule="auto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Make</w:t>
            </w:r>
            <w:r w:rsidRPr="004A33EC">
              <w:rPr>
                <w:rFonts w:cs="Arial"/>
                <w:szCs w:val="18"/>
              </w:rPr>
              <w:t xml:space="preserve"> the process fun</w:t>
            </w:r>
            <w:r>
              <w:rPr>
                <w:rFonts w:cs="Arial"/>
                <w:szCs w:val="18"/>
              </w:rPr>
              <w:t xml:space="preserve"> and engage</w:t>
            </w:r>
            <w:r w:rsidRPr="004A33EC">
              <w:rPr>
                <w:rFonts w:cs="Arial"/>
                <w:szCs w:val="18"/>
              </w:rPr>
              <w:t xml:space="preserve"> front</w:t>
            </w:r>
            <w:r>
              <w:rPr>
                <w:rFonts w:cs="Arial"/>
                <w:szCs w:val="18"/>
              </w:rPr>
              <w:t xml:space="preserve"> </w:t>
            </w:r>
            <w:r w:rsidRPr="004A33EC">
              <w:rPr>
                <w:rFonts w:cs="Arial"/>
                <w:szCs w:val="18"/>
              </w:rPr>
              <w:t xml:space="preserve">line staff in </w:t>
            </w:r>
            <w:r>
              <w:rPr>
                <w:rFonts w:cs="Arial"/>
                <w:szCs w:val="18"/>
              </w:rPr>
              <w:t xml:space="preserve">all phases of the improvement effort. </w:t>
            </w:r>
          </w:p>
        </w:tc>
      </w:tr>
    </w:tbl>
    <w:p w14:paraId="68A73C15" w14:textId="77777777" w:rsidR="00420D57" w:rsidRDefault="00420D57" w:rsidP="00420D57">
      <w:pPr>
        <w:rPr>
          <w:sz w:val="16"/>
          <w:lang w:val="en-US"/>
        </w:rPr>
      </w:pPr>
    </w:p>
    <w:p w14:paraId="6A424450" w14:textId="77777777" w:rsidR="002B6296" w:rsidRPr="004A33EC" w:rsidRDefault="002B6296" w:rsidP="00EC0072">
      <w:pPr>
        <w:spacing w:line="240" w:lineRule="auto"/>
        <w:ind w:left="-142"/>
        <w:rPr>
          <w:rFonts w:cs="Arial"/>
          <w:szCs w:val="18"/>
          <w:lang w:val="en-US"/>
        </w:rPr>
      </w:pPr>
      <w:r w:rsidRPr="004A33EC">
        <w:rPr>
          <w:rFonts w:cs="Arial"/>
          <w:szCs w:val="18"/>
          <w:lang w:val="en-US"/>
        </w:rPr>
        <w:t xml:space="preserve">Source: AMA. </w:t>
      </w:r>
      <w:r w:rsidRPr="004A33EC">
        <w:rPr>
          <w:rFonts w:cs="Arial"/>
          <w:i/>
          <w:szCs w:val="18"/>
          <w:lang w:val="en-US"/>
        </w:rPr>
        <w:t xml:space="preserve">Practice transformation series: </w:t>
      </w:r>
      <w:r>
        <w:rPr>
          <w:rFonts w:cs="Arial"/>
          <w:i/>
          <w:szCs w:val="18"/>
          <w:lang w:val="en-US"/>
        </w:rPr>
        <w:t>pre-visit laboratory testing</w:t>
      </w:r>
      <w:r w:rsidRPr="004A33EC">
        <w:rPr>
          <w:rFonts w:cs="Arial"/>
          <w:szCs w:val="18"/>
          <w:lang w:val="en-US"/>
        </w:rPr>
        <w:t>. 201</w:t>
      </w:r>
      <w:r>
        <w:rPr>
          <w:rFonts w:cs="Arial"/>
          <w:szCs w:val="18"/>
          <w:lang w:val="en-US"/>
        </w:rPr>
        <w:t>5</w:t>
      </w:r>
      <w:r w:rsidRPr="004A33EC">
        <w:rPr>
          <w:rFonts w:cs="Arial"/>
          <w:szCs w:val="18"/>
          <w:lang w:val="en-US"/>
        </w:rPr>
        <w:t>.</w:t>
      </w:r>
    </w:p>
    <w:p w14:paraId="0B4391F3" w14:textId="77777777" w:rsidR="002B6296" w:rsidRDefault="002B6296" w:rsidP="00EC0072">
      <w:pPr>
        <w:spacing w:line="240" w:lineRule="auto"/>
        <w:ind w:left="-142"/>
        <w:rPr>
          <w:rFonts w:cs="Arial"/>
          <w:szCs w:val="18"/>
        </w:rPr>
      </w:pPr>
    </w:p>
    <w:p w14:paraId="3A42C56F" w14:textId="5FDF3A09" w:rsidR="002B6296" w:rsidRPr="00D44BB3" w:rsidRDefault="002B6296" w:rsidP="00EC0072">
      <w:pPr>
        <w:spacing w:line="240" w:lineRule="auto"/>
        <w:ind w:left="-142"/>
        <w:rPr>
          <w:rFonts w:cs="Arial"/>
          <w:sz w:val="20"/>
          <w:szCs w:val="20"/>
        </w:rPr>
      </w:pPr>
      <w:r w:rsidRPr="00D44BB3">
        <w:rPr>
          <w:rFonts w:cs="Arial"/>
          <w:sz w:val="20"/>
          <w:szCs w:val="20"/>
        </w:rPr>
        <w:t xml:space="preserve">Contact the AMA for implementation support at </w:t>
      </w:r>
      <w:hyperlink r:id="rId12" w:history="1">
        <w:r w:rsidRPr="00D44BB3">
          <w:rPr>
            <w:rStyle w:val="Hyperlink"/>
            <w:rFonts w:cs="Arial"/>
            <w:sz w:val="20"/>
            <w:szCs w:val="20"/>
          </w:rPr>
          <w:t>StepsForward@ama-assn.org</w:t>
        </w:r>
      </w:hyperlink>
      <w:r w:rsidRPr="00D44BB3">
        <w:rPr>
          <w:rFonts w:cs="Arial"/>
          <w:sz w:val="20"/>
          <w:szCs w:val="20"/>
        </w:rPr>
        <w:t xml:space="preserve"> or by calling </w:t>
      </w:r>
      <w:r w:rsidR="008227D8">
        <w:rPr>
          <w:rFonts w:cs="Arial"/>
          <w:sz w:val="20"/>
          <w:szCs w:val="20"/>
        </w:rPr>
        <w:br/>
      </w:r>
      <w:r w:rsidRPr="00D44BB3">
        <w:rPr>
          <w:rFonts w:cs="Arial"/>
          <w:sz w:val="20"/>
          <w:szCs w:val="20"/>
        </w:rPr>
        <w:t>(800) 987-6630.</w:t>
      </w:r>
    </w:p>
    <w:p w14:paraId="0036EE37" w14:textId="77777777" w:rsidR="001B5817" w:rsidRDefault="001B5817" w:rsidP="00EC0072">
      <w:pPr>
        <w:ind w:left="-142"/>
        <w:rPr>
          <w:rFonts w:asciiTheme="minorHAnsi" w:eastAsiaTheme="minorHAnsi" w:hAnsiTheme="minorHAnsi" w:cstheme="minorBidi"/>
          <w:sz w:val="24"/>
          <w:lang w:val="en-US" w:eastAsia="en-US"/>
        </w:rPr>
      </w:pPr>
    </w:p>
    <w:sectPr w:rsidR="001B5817" w:rsidSect="00282257">
      <w:headerReference w:type="default" r:id="rId13"/>
      <w:footerReference w:type="even" r:id="rId14"/>
      <w:footerReference w:type="default" r:id="rId15"/>
      <w:pgSz w:w="12240" w:h="15840"/>
      <w:pgMar w:top="-1467" w:right="1440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37063" w14:textId="77777777" w:rsidR="00C14AD1" w:rsidRDefault="00C14AD1">
      <w:pPr>
        <w:spacing w:line="240" w:lineRule="auto"/>
      </w:pPr>
      <w:r>
        <w:separator/>
      </w:r>
    </w:p>
  </w:endnote>
  <w:endnote w:type="continuationSeparator" w:id="0">
    <w:p w14:paraId="3ED04B3F" w14:textId="77777777" w:rsidR="00C14AD1" w:rsidRDefault="00C14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F9FB" w14:textId="77777777" w:rsidR="0031060A" w:rsidRDefault="0031060A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91AA2" w14:textId="77777777" w:rsidR="0031060A" w:rsidRDefault="0031060A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7374" w14:textId="01EC1EA3" w:rsidR="0031060A" w:rsidRPr="00752FA0" w:rsidRDefault="0031060A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2D732C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5C11CFBA" w14:textId="2666E0B4" w:rsidR="0031060A" w:rsidRDefault="0031060A" w:rsidP="003A53AD">
    <w:pPr>
      <w:pStyle w:val="Footer"/>
      <w:ind w:left="-142" w:right="360"/>
    </w:pPr>
    <w:r w:rsidRPr="00D33AFE">
      <w:rPr>
        <w:rStyle w:val="bodycopy"/>
        <w:rFonts w:ascii="Arial" w:hAnsi="Arial"/>
        <w:color w:val="6A6972"/>
        <w:sz w:val="14"/>
        <w:szCs w:val="14"/>
      </w:rPr>
      <w:t xml:space="preserve">Copyright </w:t>
    </w:r>
    <w:r w:rsidR="00224A11">
      <w:rPr>
        <w:rStyle w:val="bodycopy"/>
        <w:rFonts w:ascii="Arial" w:hAnsi="Arial"/>
        <w:color w:val="6A6972"/>
        <w:sz w:val="14"/>
        <w:szCs w:val="14"/>
      </w:rPr>
      <w:t>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18AAC" w14:textId="77777777" w:rsidR="00C14AD1" w:rsidRDefault="00C14AD1">
      <w:pPr>
        <w:spacing w:line="240" w:lineRule="auto"/>
      </w:pPr>
      <w:r>
        <w:separator/>
      </w:r>
    </w:p>
  </w:footnote>
  <w:footnote w:type="continuationSeparator" w:id="0">
    <w:p w14:paraId="48EFC972" w14:textId="77777777" w:rsidR="00C14AD1" w:rsidRDefault="00C14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533B" w14:textId="55E2DB0E" w:rsidR="0031060A" w:rsidRDefault="00282257" w:rsidP="00282257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45DCAD09" wp14:editId="4164DF99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D0"/>
    <w:multiLevelType w:val="hybridMultilevel"/>
    <w:tmpl w:val="16AC488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570B7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99130C"/>
    <w:multiLevelType w:val="hybridMultilevel"/>
    <w:tmpl w:val="1C4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E60E4"/>
    <w:multiLevelType w:val="hybridMultilevel"/>
    <w:tmpl w:val="926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719"/>
    <w:multiLevelType w:val="hybridMultilevel"/>
    <w:tmpl w:val="260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76AD"/>
    <w:multiLevelType w:val="hybridMultilevel"/>
    <w:tmpl w:val="55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732F7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2460E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F21DF"/>
    <w:multiLevelType w:val="hybridMultilevel"/>
    <w:tmpl w:val="67D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9C4"/>
    <w:multiLevelType w:val="hybridMultilevel"/>
    <w:tmpl w:val="646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75899"/>
    <w:multiLevelType w:val="hybridMultilevel"/>
    <w:tmpl w:val="387A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93D87"/>
    <w:multiLevelType w:val="hybridMultilevel"/>
    <w:tmpl w:val="2576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251"/>
    <w:multiLevelType w:val="hybridMultilevel"/>
    <w:tmpl w:val="E250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D1EB0"/>
    <w:multiLevelType w:val="hybridMultilevel"/>
    <w:tmpl w:val="D766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E6913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A2616"/>
    <w:multiLevelType w:val="hybridMultilevel"/>
    <w:tmpl w:val="CC3A845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0413"/>
    <w:multiLevelType w:val="hybridMultilevel"/>
    <w:tmpl w:val="093EEE7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6442"/>
    <w:multiLevelType w:val="hybridMultilevel"/>
    <w:tmpl w:val="FC3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E1AB5"/>
    <w:multiLevelType w:val="hybridMultilevel"/>
    <w:tmpl w:val="8FBE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82AA2"/>
    <w:multiLevelType w:val="hybridMultilevel"/>
    <w:tmpl w:val="9A60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498955E0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AA1470D"/>
    <w:multiLevelType w:val="hybridMultilevel"/>
    <w:tmpl w:val="19B8E6EE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4F6C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EF564C6"/>
    <w:multiLevelType w:val="hybridMultilevel"/>
    <w:tmpl w:val="B60C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462AD"/>
    <w:multiLevelType w:val="hybridMultilevel"/>
    <w:tmpl w:val="AE5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6484B"/>
    <w:multiLevelType w:val="multilevel"/>
    <w:tmpl w:val="EE7EF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85396"/>
    <w:multiLevelType w:val="hybridMultilevel"/>
    <w:tmpl w:val="DAFC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4879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1303E36"/>
    <w:multiLevelType w:val="hybridMultilevel"/>
    <w:tmpl w:val="D67265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44B23"/>
    <w:multiLevelType w:val="hybridMultilevel"/>
    <w:tmpl w:val="63ECE53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A49BA"/>
    <w:multiLevelType w:val="hybridMultilevel"/>
    <w:tmpl w:val="7370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F41DD"/>
    <w:multiLevelType w:val="hybridMultilevel"/>
    <w:tmpl w:val="170C843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788D"/>
    <w:multiLevelType w:val="hybridMultilevel"/>
    <w:tmpl w:val="BA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9C6"/>
    <w:multiLevelType w:val="hybridMultilevel"/>
    <w:tmpl w:val="EC8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21000"/>
    <w:multiLevelType w:val="hybridMultilevel"/>
    <w:tmpl w:val="0830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A0598"/>
    <w:multiLevelType w:val="hybridMultilevel"/>
    <w:tmpl w:val="4398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4F0"/>
    <w:multiLevelType w:val="hybridMultilevel"/>
    <w:tmpl w:val="29227A78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3F65"/>
    <w:multiLevelType w:val="hybridMultilevel"/>
    <w:tmpl w:val="6CC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3B7"/>
    <w:multiLevelType w:val="hybridMultilevel"/>
    <w:tmpl w:val="D7184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9D1773"/>
    <w:multiLevelType w:val="hybridMultilevel"/>
    <w:tmpl w:val="87C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32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6"/>
  </w:num>
  <w:num w:numId="11">
    <w:abstractNumId w:val="31"/>
  </w:num>
  <w:num w:numId="12">
    <w:abstractNumId w:val="7"/>
  </w:num>
  <w:num w:numId="13">
    <w:abstractNumId w:val="37"/>
  </w:num>
  <w:num w:numId="14">
    <w:abstractNumId w:val="27"/>
  </w:num>
  <w:num w:numId="15">
    <w:abstractNumId w:val="26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"/>
  </w:num>
  <w:num w:numId="23">
    <w:abstractNumId w:val="38"/>
  </w:num>
  <w:num w:numId="24">
    <w:abstractNumId w:val="44"/>
  </w:num>
  <w:num w:numId="25">
    <w:abstractNumId w:val="39"/>
  </w:num>
  <w:num w:numId="26">
    <w:abstractNumId w:val="8"/>
  </w:num>
  <w:num w:numId="27">
    <w:abstractNumId w:val="30"/>
  </w:num>
  <w:num w:numId="28">
    <w:abstractNumId w:val="9"/>
  </w:num>
  <w:num w:numId="29">
    <w:abstractNumId w:val="18"/>
  </w:num>
  <w:num w:numId="30">
    <w:abstractNumId w:val="33"/>
  </w:num>
  <w:num w:numId="31">
    <w:abstractNumId w:val="3"/>
  </w:num>
  <w:num w:numId="32">
    <w:abstractNumId w:val="42"/>
  </w:num>
  <w:num w:numId="33">
    <w:abstractNumId w:val="12"/>
  </w:num>
  <w:num w:numId="34">
    <w:abstractNumId w:val="20"/>
  </w:num>
  <w:num w:numId="35">
    <w:abstractNumId w:val="4"/>
  </w:num>
  <w:num w:numId="36">
    <w:abstractNumId w:val="5"/>
  </w:num>
  <w:num w:numId="37">
    <w:abstractNumId w:val="13"/>
  </w:num>
  <w:num w:numId="38">
    <w:abstractNumId w:val="0"/>
  </w:num>
  <w:num w:numId="39">
    <w:abstractNumId w:val="17"/>
  </w:num>
  <w:num w:numId="40">
    <w:abstractNumId w:val="36"/>
  </w:num>
  <w:num w:numId="41">
    <w:abstractNumId w:val="41"/>
  </w:num>
  <w:num w:numId="42">
    <w:abstractNumId w:val="34"/>
  </w:num>
  <w:num w:numId="43">
    <w:abstractNumId w:val="24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6"/>
    <w:rsid w:val="000114CC"/>
    <w:rsid w:val="000116B3"/>
    <w:rsid w:val="00020BDC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CB4"/>
    <w:rsid w:val="000A53D3"/>
    <w:rsid w:val="000B12BB"/>
    <w:rsid w:val="000C38A6"/>
    <w:rsid w:val="00100E70"/>
    <w:rsid w:val="0010536E"/>
    <w:rsid w:val="001120B6"/>
    <w:rsid w:val="00113F3D"/>
    <w:rsid w:val="00114A31"/>
    <w:rsid w:val="00116352"/>
    <w:rsid w:val="00122B17"/>
    <w:rsid w:val="00123531"/>
    <w:rsid w:val="0013714A"/>
    <w:rsid w:val="001375D2"/>
    <w:rsid w:val="00141180"/>
    <w:rsid w:val="00156A2B"/>
    <w:rsid w:val="00173120"/>
    <w:rsid w:val="00173E72"/>
    <w:rsid w:val="00184720"/>
    <w:rsid w:val="00184A64"/>
    <w:rsid w:val="00185F41"/>
    <w:rsid w:val="001B5817"/>
    <w:rsid w:val="001C4E61"/>
    <w:rsid w:val="001E4765"/>
    <w:rsid w:val="001E68C2"/>
    <w:rsid w:val="001F374D"/>
    <w:rsid w:val="001F7D4F"/>
    <w:rsid w:val="00217EB7"/>
    <w:rsid w:val="00224A11"/>
    <w:rsid w:val="002300F6"/>
    <w:rsid w:val="00252BCD"/>
    <w:rsid w:val="00261020"/>
    <w:rsid w:val="00274CD5"/>
    <w:rsid w:val="00275B06"/>
    <w:rsid w:val="0027728A"/>
    <w:rsid w:val="00282257"/>
    <w:rsid w:val="00285BC0"/>
    <w:rsid w:val="00293D3F"/>
    <w:rsid w:val="002B0F4B"/>
    <w:rsid w:val="002B6296"/>
    <w:rsid w:val="002B6618"/>
    <w:rsid w:val="002C7555"/>
    <w:rsid w:val="002D005C"/>
    <w:rsid w:val="002D251F"/>
    <w:rsid w:val="002D47C3"/>
    <w:rsid w:val="002D636E"/>
    <w:rsid w:val="002D732C"/>
    <w:rsid w:val="002E6E6A"/>
    <w:rsid w:val="002F1ACD"/>
    <w:rsid w:val="002F3F47"/>
    <w:rsid w:val="003033D3"/>
    <w:rsid w:val="00307301"/>
    <w:rsid w:val="0031060A"/>
    <w:rsid w:val="00311ABA"/>
    <w:rsid w:val="003131B8"/>
    <w:rsid w:val="003212F7"/>
    <w:rsid w:val="0032238D"/>
    <w:rsid w:val="00322A57"/>
    <w:rsid w:val="00322E8F"/>
    <w:rsid w:val="00330EE5"/>
    <w:rsid w:val="0033503E"/>
    <w:rsid w:val="0034041C"/>
    <w:rsid w:val="00345E03"/>
    <w:rsid w:val="00347578"/>
    <w:rsid w:val="00370ABE"/>
    <w:rsid w:val="0037117A"/>
    <w:rsid w:val="00384184"/>
    <w:rsid w:val="003867FE"/>
    <w:rsid w:val="00391883"/>
    <w:rsid w:val="003A53AD"/>
    <w:rsid w:val="003A729C"/>
    <w:rsid w:val="003C62F7"/>
    <w:rsid w:val="003D57C8"/>
    <w:rsid w:val="003F3AEE"/>
    <w:rsid w:val="00405A0D"/>
    <w:rsid w:val="00411F4A"/>
    <w:rsid w:val="00412C70"/>
    <w:rsid w:val="00416015"/>
    <w:rsid w:val="00420D57"/>
    <w:rsid w:val="00423A5D"/>
    <w:rsid w:val="00433E66"/>
    <w:rsid w:val="00434225"/>
    <w:rsid w:val="0044117B"/>
    <w:rsid w:val="00441A96"/>
    <w:rsid w:val="00442003"/>
    <w:rsid w:val="00443B3E"/>
    <w:rsid w:val="00445411"/>
    <w:rsid w:val="00461335"/>
    <w:rsid w:val="00461387"/>
    <w:rsid w:val="004859AB"/>
    <w:rsid w:val="00493C45"/>
    <w:rsid w:val="004A42D9"/>
    <w:rsid w:val="004A7511"/>
    <w:rsid w:val="004B1A7D"/>
    <w:rsid w:val="004C0DA1"/>
    <w:rsid w:val="004C269F"/>
    <w:rsid w:val="004C7678"/>
    <w:rsid w:val="004E43F8"/>
    <w:rsid w:val="004E6339"/>
    <w:rsid w:val="005027D6"/>
    <w:rsid w:val="00510413"/>
    <w:rsid w:val="00511323"/>
    <w:rsid w:val="00514199"/>
    <w:rsid w:val="00514EF8"/>
    <w:rsid w:val="00514FE8"/>
    <w:rsid w:val="00515611"/>
    <w:rsid w:val="00515CE9"/>
    <w:rsid w:val="00521B6F"/>
    <w:rsid w:val="00521D5D"/>
    <w:rsid w:val="00522BA7"/>
    <w:rsid w:val="005438F9"/>
    <w:rsid w:val="00544955"/>
    <w:rsid w:val="00567612"/>
    <w:rsid w:val="0057162C"/>
    <w:rsid w:val="00575D19"/>
    <w:rsid w:val="00583228"/>
    <w:rsid w:val="00584A37"/>
    <w:rsid w:val="005A5543"/>
    <w:rsid w:val="005B4DCF"/>
    <w:rsid w:val="005B5EFB"/>
    <w:rsid w:val="005C036C"/>
    <w:rsid w:val="005D184E"/>
    <w:rsid w:val="005D27D5"/>
    <w:rsid w:val="005F011C"/>
    <w:rsid w:val="005F1375"/>
    <w:rsid w:val="00600F0B"/>
    <w:rsid w:val="00610203"/>
    <w:rsid w:val="0062741A"/>
    <w:rsid w:val="0064446F"/>
    <w:rsid w:val="00652052"/>
    <w:rsid w:val="006771F2"/>
    <w:rsid w:val="006772F1"/>
    <w:rsid w:val="0068445F"/>
    <w:rsid w:val="00686D75"/>
    <w:rsid w:val="0069086E"/>
    <w:rsid w:val="00690988"/>
    <w:rsid w:val="00697826"/>
    <w:rsid w:val="006A28DC"/>
    <w:rsid w:val="006A42B1"/>
    <w:rsid w:val="006A6137"/>
    <w:rsid w:val="006B06F8"/>
    <w:rsid w:val="006B43C5"/>
    <w:rsid w:val="006B6A04"/>
    <w:rsid w:val="006B6F4D"/>
    <w:rsid w:val="006C7A52"/>
    <w:rsid w:val="006D10E3"/>
    <w:rsid w:val="006D7375"/>
    <w:rsid w:val="006E05C7"/>
    <w:rsid w:val="006F31FE"/>
    <w:rsid w:val="00705EFF"/>
    <w:rsid w:val="0071526F"/>
    <w:rsid w:val="00720FB0"/>
    <w:rsid w:val="0073108B"/>
    <w:rsid w:val="007411C0"/>
    <w:rsid w:val="00752FA0"/>
    <w:rsid w:val="00753AF9"/>
    <w:rsid w:val="00754C4F"/>
    <w:rsid w:val="00754CF7"/>
    <w:rsid w:val="00764632"/>
    <w:rsid w:val="00767BEC"/>
    <w:rsid w:val="00775E11"/>
    <w:rsid w:val="00794D6A"/>
    <w:rsid w:val="007B1500"/>
    <w:rsid w:val="007B2335"/>
    <w:rsid w:val="007C3420"/>
    <w:rsid w:val="007C4277"/>
    <w:rsid w:val="007D21E6"/>
    <w:rsid w:val="007D675C"/>
    <w:rsid w:val="007F2DD3"/>
    <w:rsid w:val="00810B85"/>
    <w:rsid w:val="008227D8"/>
    <w:rsid w:val="00827B15"/>
    <w:rsid w:val="00841B6F"/>
    <w:rsid w:val="00872A32"/>
    <w:rsid w:val="00877714"/>
    <w:rsid w:val="0088039E"/>
    <w:rsid w:val="00890F95"/>
    <w:rsid w:val="00896BBB"/>
    <w:rsid w:val="008A5CF1"/>
    <w:rsid w:val="008D0895"/>
    <w:rsid w:val="008D3EAF"/>
    <w:rsid w:val="008D43D6"/>
    <w:rsid w:val="008F5796"/>
    <w:rsid w:val="009131AB"/>
    <w:rsid w:val="009409EB"/>
    <w:rsid w:val="00943B80"/>
    <w:rsid w:val="00964653"/>
    <w:rsid w:val="009745E8"/>
    <w:rsid w:val="00980851"/>
    <w:rsid w:val="0098299C"/>
    <w:rsid w:val="00986F51"/>
    <w:rsid w:val="00994F88"/>
    <w:rsid w:val="009B6050"/>
    <w:rsid w:val="009B76BF"/>
    <w:rsid w:val="009B7A69"/>
    <w:rsid w:val="009C31C2"/>
    <w:rsid w:val="009E1BC8"/>
    <w:rsid w:val="009E22D5"/>
    <w:rsid w:val="009E24C6"/>
    <w:rsid w:val="009E69FA"/>
    <w:rsid w:val="009E6C75"/>
    <w:rsid w:val="009F2B93"/>
    <w:rsid w:val="009F3490"/>
    <w:rsid w:val="00A0512B"/>
    <w:rsid w:val="00A05D9A"/>
    <w:rsid w:val="00A23B77"/>
    <w:rsid w:val="00A24212"/>
    <w:rsid w:val="00A24535"/>
    <w:rsid w:val="00A30349"/>
    <w:rsid w:val="00A335E7"/>
    <w:rsid w:val="00A34F71"/>
    <w:rsid w:val="00A40959"/>
    <w:rsid w:val="00A4222C"/>
    <w:rsid w:val="00A4470D"/>
    <w:rsid w:val="00A464AD"/>
    <w:rsid w:val="00A56E68"/>
    <w:rsid w:val="00A71452"/>
    <w:rsid w:val="00A77BF2"/>
    <w:rsid w:val="00A82D5E"/>
    <w:rsid w:val="00A92B3F"/>
    <w:rsid w:val="00A96FA5"/>
    <w:rsid w:val="00AB4906"/>
    <w:rsid w:val="00AB6E03"/>
    <w:rsid w:val="00AC166B"/>
    <w:rsid w:val="00AD145F"/>
    <w:rsid w:val="00AD38B4"/>
    <w:rsid w:val="00AE4C0A"/>
    <w:rsid w:val="00AF0389"/>
    <w:rsid w:val="00B01CA0"/>
    <w:rsid w:val="00B040A8"/>
    <w:rsid w:val="00B1390A"/>
    <w:rsid w:val="00B17562"/>
    <w:rsid w:val="00B21694"/>
    <w:rsid w:val="00B324C7"/>
    <w:rsid w:val="00B35804"/>
    <w:rsid w:val="00B408E0"/>
    <w:rsid w:val="00B44A3B"/>
    <w:rsid w:val="00B47858"/>
    <w:rsid w:val="00B51A99"/>
    <w:rsid w:val="00B55466"/>
    <w:rsid w:val="00B5708B"/>
    <w:rsid w:val="00B608F2"/>
    <w:rsid w:val="00B63189"/>
    <w:rsid w:val="00B654BA"/>
    <w:rsid w:val="00B722C9"/>
    <w:rsid w:val="00B829AB"/>
    <w:rsid w:val="00B92390"/>
    <w:rsid w:val="00B95854"/>
    <w:rsid w:val="00B96CAB"/>
    <w:rsid w:val="00BA237C"/>
    <w:rsid w:val="00BA6EC4"/>
    <w:rsid w:val="00BC545B"/>
    <w:rsid w:val="00BF2E21"/>
    <w:rsid w:val="00C00E95"/>
    <w:rsid w:val="00C0344D"/>
    <w:rsid w:val="00C14AD1"/>
    <w:rsid w:val="00C1563D"/>
    <w:rsid w:val="00C20CCA"/>
    <w:rsid w:val="00C24427"/>
    <w:rsid w:val="00C36842"/>
    <w:rsid w:val="00C45700"/>
    <w:rsid w:val="00C46B1E"/>
    <w:rsid w:val="00C46DE5"/>
    <w:rsid w:val="00C538FF"/>
    <w:rsid w:val="00C71BD3"/>
    <w:rsid w:val="00C72E10"/>
    <w:rsid w:val="00C85F2B"/>
    <w:rsid w:val="00C864F7"/>
    <w:rsid w:val="00C90686"/>
    <w:rsid w:val="00C919F5"/>
    <w:rsid w:val="00CA424D"/>
    <w:rsid w:val="00CB0B7A"/>
    <w:rsid w:val="00CB6EAF"/>
    <w:rsid w:val="00CB79B3"/>
    <w:rsid w:val="00CC7DC6"/>
    <w:rsid w:val="00CD4F7A"/>
    <w:rsid w:val="00CD7A08"/>
    <w:rsid w:val="00CE19F6"/>
    <w:rsid w:val="00CE408F"/>
    <w:rsid w:val="00CE7690"/>
    <w:rsid w:val="00D001F1"/>
    <w:rsid w:val="00D00F94"/>
    <w:rsid w:val="00D20437"/>
    <w:rsid w:val="00D2095B"/>
    <w:rsid w:val="00D256EA"/>
    <w:rsid w:val="00D25B60"/>
    <w:rsid w:val="00D25F0D"/>
    <w:rsid w:val="00D410C6"/>
    <w:rsid w:val="00D44BB3"/>
    <w:rsid w:val="00D56120"/>
    <w:rsid w:val="00D61BCA"/>
    <w:rsid w:val="00D63581"/>
    <w:rsid w:val="00D710E5"/>
    <w:rsid w:val="00D71C74"/>
    <w:rsid w:val="00D72273"/>
    <w:rsid w:val="00D756DF"/>
    <w:rsid w:val="00D93E9C"/>
    <w:rsid w:val="00D94AB3"/>
    <w:rsid w:val="00DA1A35"/>
    <w:rsid w:val="00DB4E86"/>
    <w:rsid w:val="00DC4CFF"/>
    <w:rsid w:val="00DC7BD8"/>
    <w:rsid w:val="00DC7DCE"/>
    <w:rsid w:val="00DD4D82"/>
    <w:rsid w:val="00DE05BC"/>
    <w:rsid w:val="00DE26F2"/>
    <w:rsid w:val="00DE2AE0"/>
    <w:rsid w:val="00DE470C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2492"/>
    <w:rsid w:val="00E62FE2"/>
    <w:rsid w:val="00E66EB3"/>
    <w:rsid w:val="00E81840"/>
    <w:rsid w:val="00E8312C"/>
    <w:rsid w:val="00E84EEF"/>
    <w:rsid w:val="00E85487"/>
    <w:rsid w:val="00EA3C23"/>
    <w:rsid w:val="00EA7DE3"/>
    <w:rsid w:val="00EB637A"/>
    <w:rsid w:val="00EB6AF2"/>
    <w:rsid w:val="00EC0072"/>
    <w:rsid w:val="00EC0694"/>
    <w:rsid w:val="00EC186D"/>
    <w:rsid w:val="00ED71A6"/>
    <w:rsid w:val="00EF09DB"/>
    <w:rsid w:val="00EF1C87"/>
    <w:rsid w:val="00EF317E"/>
    <w:rsid w:val="00F05284"/>
    <w:rsid w:val="00F068D0"/>
    <w:rsid w:val="00F10BDA"/>
    <w:rsid w:val="00F20F90"/>
    <w:rsid w:val="00F3106F"/>
    <w:rsid w:val="00F35EC5"/>
    <w:rsid w:val="00F4765E"/>
    <w:rsid w:val="00F5232F"/>
    <w:rsid w:val="00F64202"/>
    <w:rsid w:val="00F6447B"/>
    <w:rsid w:val="00F674B6"/>
    <w:rsid w:val="00F71094"/>
    <w:rsid w:val="00F71E64"/>
    <w:rsid w:val="00F807BE"/>
    <w:rsid w:val="00F808FD"/>
    <w:rsid w:val="00F85B9B"/>
    <w:rsid w:val="00FA0F91"/>
    <w:rsid w:val="00FA1F28"/>
    <w:rsid w:val="00FA545E"/>
    <w:rsid w:val="00FA5D81"/>
    <w:rsid w:val="00FA61F6"/>
    <w:rsid w:val="00FB2690"/>
    <w:rsid w:val="00FB6E11"/>
    <w:rsid w:val="00FC05CC"/>
    <w:rsid w:val="00FC663E"/>
    <w:rsid w:val="00FC6F80"/>
    <w:rsid w:val="00FC7B65"/>
    <w:rsid w:val="00FD001E"/>
    <w:rsid w:val="00FD5E29"/>
    <w:rsid w:val="00FE383E"/>
    <w:rsid w:val="00FF26B4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3D91F76"/>
  <w15:docId w15:val="{CA64D97D-CDA6-420F-9797-1AF824D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44BB3"/>
    <w:pPr>
      <w:keepNext/>
      <w:keepLines/>
      <w:tabs>
        <w:tab w:val="left" w:pos="4770"/>
      </w:tabs>
      <w:spacing w:after="120" w:line="240" w:lineRule="auto"/>
      <w:ind w:left="-142"/>
      <w:outlineLvl w:val="0"/>
    </w:pPr>
    <w:rPr>
      <w:rFonts w:eastAsiaTheme="majorEastAsia" w:cstheme="majorBidi"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BB3"/>
    <w:rPr>
      <w:rFonts w:ascii="Arial" w:eastAsiaTheme="majorEastAsia" w:hAnsi="Arial" w:cstheme="majorBidi"/>
      <w:noProof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epsForward@ama-ass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TMWK-1711667696-1886</_dlc_DocId>
    <_dlc_DocIdUrl xmlns="56ca14a9-86ae-4ef3-8e6a-8ffc11662945">
      <Url>https://amatoday.sharepoint.com/sites/teamwork/EducationCenterEngage/_layouts/15/DocIdRedir.aspx?ID=TMWK-1711667696-1886</Url>
      <Description>TMWK-1711667696-1886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900F-2973-47A2-86FA-E6C27B0FB2B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56ca14a9-86ae-4ef3-8e6a-8ffc11662945"/>
    <ds:schemaRef ds:uri="http://www.w3.org/XML/1998/namespace"/>
    <ds:schemaRef ds:uri="http://purl.org/dc/dcmitype/"/>
    <ds:schemaRef ds:uri="c25f2ba5-8c06-4105-bc3e-2b38c24c9abb"/>
    <ds:schemaRef ds:uri="bdb2ef6e-8efe-4a7e-9f1e-0eba45344756"/>
  </ds:schemaRefs>
</ds:datastoreItem>
</file>

<file path=customXml/itemProps2.xml><?xml version="1.0" encoding="utf-8"?>
<ds:datastoreItem xmlns:ds="http://schemas.openxmlformats.org/officeDocument/2006/customXml" ds:itemID="{B027ACBF-7ACA-409C-A3A4-E8ADD8CD1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6601F-CC33-49E2-8ED0-78FA239124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A775A1-42A7-48F7-81DC-1C66FB90E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DB7622-1622-49F1-A705-DE86F2B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Pre-visit laboratory testing implementation checklist</vt:lpstr>
    </vt:vector>
  </TitlesOfParts>
  <Company>Klick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Pre-visit laboratory testing implementation checklist</dc:title>
  <dc:creator>Heeyol Lee</dc:creator>
  <cp:lastModifiedBy>Brittany Thele</cp:lastModifiedBy>
  <cp:revision>2</cp:revision>
  <cp:lastPrinted>2014-10-08T17:56:00Z</cp:lastPrinted>
  <dcterms:created xsi:type="dcterms:W3CDTF">2019-02-08T18:08:00Z</dcterms:created>
  <dcterms:modified xsi:type="dcterms:W3CDTF">2019-02-08T18:08:00Z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f587a073-e149-4aa5-a2c3-972c81391da5</vt:lpwstr>
  </property>
</Properties>
</file>